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A76B8" w14:textId="77777777" w:rsidR="00765D40" w:rsidRDefault="008F4AA6" w:rsidP="009B1EF5">
      <w:pPr>
        <w:pStyle w:val="Title"/>
        <w:pBdr>
          <w:bottom w:val="none" w:sz="0" w:space="0" w:color="auto"/>
        </w:pBdr>
        <w:jc w:val="right"/>
        <w:rPr>
          <w:sz w:val="48"/>
          <w:szCs w:val="48"/>
          <w:lang w:val="en-GB"/>
        </w:rPr>
      </w:pPr>
      <w:r>
        <w:rPr>
          <w:noProof/>
          <w:sz w:val="48"/>
          <w:szCs w:val="48"/>
          <w:lang w:eastAsia="en-NZ"/>
        </w:rPr>
        <w:drawing>
          <wp:inline distT="0" distB="0" distL="0" distR="0" wp14:anchorId="3AC2A4E8" wp14:editId="583D283B">
            <wp:extent cx="2751880" cy="1050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safe log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2419" cy="1050530"/>
                    </a:xfrm>
                    <a:prstGeom prst="rect">
                      <a:avLst/>
                    </a:prstGeom>
                  </pic:spPr>
                </pic:pic>
              </a:graphicData>
            </a:graphic>
          </wp:inline>
        </w:drawing>
      </w:r>
    </w:p>
    <w:p w14:paraId="01093542" w14:textId="77777777" w:rsidR="00765D40" w:rsidRDefault="00765D40" w:rsidP="008F4AA6">
      <w:pPr>
        <w:pStyle w:val="Title"/>
        <w:pBdr>
          <w:bottom w:val="none" w:sz="0" w:space="0" w:color="auto"/>
        </w:pBdr>
        <w:jc w:val="both"/>
        <w:rPr>
          <w:sz w:val="48"/>
          <w:szCs w:val="48"/>
          <w:lang w:val="en-GB"/>
        </w:rPr>
      </w:pPr>
    </w:p>
    <w:p w14:paraId="594CD23B" w14:textId="77777777" w:rsidR="009B1EF5" w:rsidRPr="009B1EF5" w:rsidRDefault="009B1EF5" w:rsidP="009B1EF5">
      <w:pPr>
        <w:rPr>
          <w:lang w:val="en-GB"/>
        </w:rPr>
      </w:pPr>
    </w:p>
    <w:p w14:paraId="732A168B" w14:textId="77777777" w:rsidR="008F4AA6" w:rsidRPr="006820BE" w:rsidRDefault="006820BE" w:rsidP="008F4AA6">
      <w:pPr>
        <w:pStyle w:val="Title"/>
        <w:pBdr>
          <w:bottom w:val="none" w:sz="0" w:space="0" w:color="auto"/>
        </w:pBdr>
        <w:rPr>
          <w:sz w:val="60"/>
          <w:szCs w:val="60"/>
          <w:lang w:val="en-GB"/>
        </w:rPr>
      </w:pPr>
      <w:r w:rsidRPr="006820BE">
        <w:rPr>
          <w:sz w:val="60"/>
          <w:szCs w:val="60"/>
          <w:lang w:val="en-GB"/>
        </w:rPr>
        <w:t xml:space="preserve">Miconazole Label Statements </w:t>
      </w:r>
    </w:p>
    <w:p w14:paraId="30AFDA7E" w14:textId="77777777" w:rsidR="00765D40" w:rsidRDefault="008F4AA6" w:rsidP="009B1EF5">
      <w:pPr>
        <w:pStyle w:val="Title"/>
        <w:pBdr>
          <w:bottom w:val="none" w:sz="0" w:space="0" w:color="auto"/>
        </w:pBdr>
        <w:jc w:val="both"/>
        <w:rPr>
          <w:sz w:val="48"/>
          <w:szCs w:val="48"/>
          <w:lang w:val="en-GB"/>
        </w:rPr>
      </w:pPr>
      <w:r>
        <w:rPr>
          <w:noProof/>
          <w:sz w:val="48"/>
          <w:szCs w:val="48"/>
          <w:lang w:eastAsia="en-NZ"/>
        </w:rPr>
        <w:drawing>
          <wp:inline distT="0" distB="0" distL="0" distR="0" wp14:anchorId="3D3D3201" wp14:editId="6FB430A5">
            <wp:extent cx="6944497" cy="56841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safe Banner.tif"/>
                    <pic:cNvPicPr/>
                  </pic:nvPicPr>
                  <pic:blipFill>
                    <a:blip r:embed="rId9">
                      <a:extLst>
                        <a:ext uri="{28A0092B-C50C-407E-A947-70E740481C1C}">
                          <a14:useLocalDpi xmlns:a14="http://schemas.microsoft.com/office/drawing/2010/main" val="0"/>
                        </a:ext>
                      </a:extLst>
                    </a:blip>
                    <a:stretch>
                      <a:fillRect/>
                    </a:stretch>
                  </pic:blipFill>
                  <pic:spPr>
                    <a:xfrm>
                      <a:off x="0" y="0"/>
                      <a:ext cx="6970476" cy="570537"/>
                    </a:xfrm>
                    <a:prstGeom prst="rect">
                      <a:avLst/>
                    </a:prstGeom>
                  </pic:spPr>
                </pic:pic>
              </a:graphicData>
            </a:graphic>
          </wp:inline>
        </w:drawing>
      </w:r>
    </w:p>
    <w:p w14:paraId="655DE153" w14:textId="77777777" w:rsidR="00765D40" w:rsidRPr="00393A7C" w:rsidRDefault="006820BE" w:rsidP="008F4AA6">
      <w:pPr>
        <w:pStyle w:val="Title"/>
        <w:pBdr>
          <w:bottom w:val="none" w:sz="0" w:space="0" w:color="auto"/>
        </w:pBdr>
        <w:jc w:val="both"/>
        <w:rPr>
          <w:sz w:val="36"/>
          <w:szCs w:val="36"/>
          <w:lang w:val="en-GB"/>
        </w:rPr>
      </w:pPr>
      <w:r w:rsidRPr="00393A7C">
        <w:rPr>
          <w:sz w:val="36"/>
          <w:szCs w:val="36"/>
          <w:lang w:val="en-GB"/>
        </w:rPr>
        <w:t xml:space="preserve">Consultation on need for </w:t>
      </w:r>
      <w:r w:rsidR="00393A7C">
        <w:rPr>
          <w:sz w:val="36"/>
          <w:szCs w:val="36"/>
          <w:lang w:val="en-GB"/>
        </w:rPr>
        <w:t xml:space="preserve">a </w:t>
      </w:r>
      <w:r w:rsidRPr="00393A7C">
        <w:rPr>
          <w:sz w:val="36"/>
          <w:szCs w:val="36"/>
          <w:lang w:val="en-GB"/>
        </w:rPr>
        <w:t>warning regarding interaction with warfarin</w:t>
      </w:r>
      <w:r w:rsidR="00FD447E" w:rsidRPr="00393A7C">
        <w:rPr>
          <w:sz w:val="36"/>
          <w:szCs w:val="36"/>
          <w:lang w:val="en-GB"/>
        </w:rPr>
        <w:t xml:space="preserve"> and harmonisation with Australian required statements</w:t>
      </w:r>
    </w:p>
    <w:p w14:paraId="5D9A06EA" w14:textId="77777777" w:rsidR="009B1EF5" w:rsidRDefault="007C5979" w:rsidP="009B1EF5">
      <w:pPr>
        <w:rPr>
          <w:lang w:val="en-GB"/>
        </w:rPr>
      </w:pPr>
      <w:r>
        <w:rPr>
          <w:lang w:val="en-GB"/>
        </w:rPr>
        <w:t>Medsafe</w:t>
      </w:r>
    </w:p>
    <w:p w14:paraId="79083012" w14:textId="77777777" w:rsidR="007C5979" w:rsidRDefault="006820BE" w:rsidP="009B1EF5">
      <w:pPr>
        <w:rPr>
          <w:lang w:val="en-GB"/>
        </w:rPr>
      </w:pPr>
      <w:r>
        <w:rPr>
          <w:lang w:val="en-GB"/>
        </w:rPr>
        <w:t>February 2017</w:t>
      </w:r>
    </w:p>
    <w:p w14:paraId="4A29266A" w14:textId="77777777" w:rsidR="009B1EF5" w:rsidRDefault="009B1EF5" w:rsidP="009B1EF5">
      <w:pPr>
        <w:rPr>
          <w:lang w:val="en-GB"/>
        </w:rPr>
      </w:pPr>
    </w:p>
    <w:p w14:paraId="27B37E5C" w14:textId="77777777" w:rsidR="009B1EF5" w:rsidRDefault="009B1EF5" w:rsidP="009B1EF5">
      <w:pPr>
        <w:rPr>
          <w:lang w:val="en-GB"/>
        </w:rPr>
      </w:pPr>
    </w:p>
    <w:p w14:paraId="2C035EB3" w14:textId="77777777" w:rsidR="009B1EF5" w:rsidRDefault="009B1EF5" w:rsidP="009B1EF5">
      <w:pPr>
        <w:rPr>
          <w:lang w:val="en-GB"/>
        </w:rPr>
      </w:pPr>
    </w:p>
    <w:p w14:paraId="1854B340" w14:textId="77777777" w:rsidR="009B1EF5" w:rsidRDefault="009B1EF5" w:rsidP="009B1EF5">
      <w:pPr>
        <w:rPr>
          <w:lang w:val="en-GB"/>
        </w:rPr>
      </w:pPr>
    </w:p>
    <w:p w14:paraId="046D56E6" w14:textId="77777777" w:rsidR="009B1EF5" w:rsidRDefault="009B1EF5" w:rsidP="009B1EF5">
      <w:pPr>
        <w:rPr>
          <w:lang w:val="en-GB"/>
        </w:rPr>
      </w:pPr>
    </w:p>
    <w:p w14:paraId="71AB7551" w14:textId="77777777" w:rsidR="009B1EF5" w:rsidRDefault="009B1EF5" w:rsidP="009B1EF5">
      <w:pPr>
        <w:rPr>
          <w:lang w:val="en-GB"/>
        </w:rPr>
      </w:pPr>
    </w:p>
    <w:p w14:paraId="59C0945E" w14:textId="77777777" w:rsidR="009B1EF5" w:rsidRDefault="009B1EF5" w:rsidP="009B1EF5">
      <w:pPr>
        <w:rPr>
          <w:lang w:val="en-GB"/>
        </w:rPr>
      </w:pPr>
    </w:p>
    <w:tbl>
      <w:tblPr>
        <w:tblW w:w="9632" w:type="dxa"/>
        <w:tblLook w:val="04A0" w:firstRow="1" w:lastRow="0" w:firstColumn="1" w:lastColumn="0" w:noHBand="0" w:noVBand="1"/>
      </w:tblPr>
      <w:tblGrid>
        <w:gridCol w:w="4361"/>
        <w:gridCol w:w="5271"/>
      </w:tblGrid>
      <w:tr w:rsidR="00E44039" w14:paraId="651E1286" w14:textId="77777777" w:rsidTr="000B4DF6">
        <w:tc>
          <w:tcPr>
            <w:tcW w:w="4361" w:type="dxa"/>
          </w:tcPr>
          <w:p w14:paraId="4C08C260" w14:textId="77777777" w:rsidR="00E44039" w:rsidRDefault="00E44039" w:rsidP="009B1EF5">
            <w:pPr>
              <w:rPr>
                <w:lang w:val="en-GB"/>
              </w:rPr>
            </w:pPr>
            <w:r>
              <w:rPr>
                <w:noProof/>
                <w:lang w:eastAsia="en-NZ"/>
              </w:rPr>
              <w:drawing>
                <wp:inline distT="0" distB="0" distL="0" distR="0" wp14:anchorId="6EBB1370" wp14:editId="19E5A64D">
                  <wp:extent cx="1507524" cy="629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 mac.tif"/>
                          <pic:cNvPicPr/>
                        </pic:nvPicPr>
                        <pic:blipFill>
                          <a:blip r:embed="rId10">
                            <a:extLst>
                              <a:ext uri="{28A0092B-C50C-407E-A947-70E740481C1C}">
                                <a14:useLocalDpi xmlns:a14="http://schemas.microsoft.com/office/drawing/2010/main" val="0"/>
                              </a:ext>
                            </a:extLst>
                          </a:blip>
                          <a:stretch>
                            <a:fillRect/>
                          </a:stretch>
                        </pic:blipFill>
                        <pic:spPr>
                          <a:xfrm>
                            <a:off x="0" y="0"/>
                            <a:ext cx="1506015" cy="628800"/>
                          </a:xfrm>
                          <a:prstGeom prst="rect">
                            <a:avLst/>
                          </a:prstGeom>
                        </pic:spPr>
                      </pic:pic>
                    </a:graphicData>
                  </a:graphic>
                </wp:inline>
              </w:drawing>
            </w:r>
          </w:p>
        </w:tc>
        <w:tc>
          <w:tcPr>
            <w:tcW w:w="5271" w:type="dxa"/>
          </w:tcPr>
          <w:p w14:paraId="0715A9C1" w14:textId="77777777" w:rsidR="00E44039" w:rsidRDefault="00E44039" w:rsidP="000B4DF6">
            <w:pPr>
              <w:jc w:val="right"/>
              <w:rPr>
                <w:lang w:val="en-GB"/>
              </w:rPr>
            </w:pPr>
            <w:r>
              <w:rPr>
                <w:noProof/>
                <w:lang w:eastAsia="en-NZ"/>
              </w:rPr>
              <w:drawing>
                <wp:inline distT="0" distB="0" distL="0" distR="0" wp14:anchorId="1A29A022" wp14:editId="49F0E8C1">
                  <wp:extent cx="2965621" cy="3082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 Government.jpg"/>
                          <pic:cNvPicPr/>
                        </pic:nvPicPr>
                        <pic:blipFill>
                          <a:blip r:embed="rId11">
                            <a:extLst>
                              <a:ext uri="{28A0092B-C50C-407E-A947-70E740481C1C}">
                                <a14:useLocalDpi xmlns:a14="http://schemas.microsoft.com/office/drawing/2010/main" val="0"/>
                              </a:ext>
                            </a:extLst>
                          </a:blip>
                          <a:stretch>
                            <a:fillRect/>
                          </a:stretch>
                        </pic:blipFill>
                        <pic:spPr>
                          <a:xfrm>
                            <a:off x="0" y="0"/>
                            <a:ext cx="3025576" cy="314436"/>
                          </a:xfrm>
                          <a:prstGeom prst="rect">
                            <a:avLst/>
                          </a:prstGeom>
                        </pic:spPr>
                      </pic:pic>
                    </a:graphicData>
                  </a:graphic>
                </wp:inline>
              </w:drawing>
            </w:r>
          </w:p>
        </w:tc>
      </w:tr>
    </w:tbl>
    <w:p w14:paraId="4DB98E79" w14:textId="77777777" w:rsidR="008F4AA6" w:rsidRDefault="008F4AA6" w:rsidP="008F4AA6">
      <w:pPr>
        <w:rPr>
          <w:lang w:val="en-GB"/>
        </w:rPr>
      </w:pPr>
    </w:p>
    <w:p w14:paraId="629B9218" w14:textId="77777777" w:rsidR="008F4AA6" w:rsidRPr="008F4AA6" w:rsidRDefault="008F4AA6" w:rsidP="00E44039">
      <w:pPr>
        <w:jc w:val="right"/>
        <w:rPr>
          <w:lang w:val="en-GB"/>
        </w:rPr>
        <w:sectPr w:rsidR="008F4AA6" w:rsidRPr="008F4AA6" w:rsidSect="00EB4B81">
          <w:headerReference w:type="default" r:id="rId12"/>
          <w:footerReference w:type="default" r:id="rId13"/>
          <w:pgSz w:w="11906" w:h="16838"/>
          <w:pgMar w:top="1440" w:right="1440" w:bottom="1440" w:left="1440" w:header="708" w:footer="708" w:gutter="0"/>
          <w:cols w:space="708"/>
          <w:titlePg/>
          <w:docGrid w:linePitch="360"/>
        </w:sectPr>
      </w:pPr>
    </w:p>
    <w:sdt>
      <w:sdtPr>
        <w:rPr>
          <w:rFonts w:ascii="Arial" w:eastAsiaTheme="minorHAnsi" w:hAnsi="Arial" w:cstheme="minorBidi"/>
          <w:b w:val="0"/>
          <w:bCs w:val="0"/>
          <w:color w:val="auto"/>
          <w:sz w:val="22"/>
          <w:szCs w:val="22"/>
          <w:lang w:val="en-NZ" w:eastAsia="en-US"/>
        </w:rPr>
        <w:id w:val="334655112"/>
        <w:docPartObj>
          <w:docPartGallery w:val="Table of Contents"/>
          <w:docPartUnique/>
        </w:docPartObj>
      </w:sdtPr>
      <w:sdtEndPr>
        <w:rPr>
          <w:rFonts w:asciiTheme="minorHAnsi" w:hAnsiTheme="minorHAnsi"/>
          <w:noProof/>
        </w:rPr>
      </w:sdtEndPr>
      <w:sdtContent>
        <w:p w14:paraId="05409045" w14:textId="77777777" w:rsidR="00D771E1" w:rsidRPr="00FB42ED" w:rsidRDefault="00D771E1" w:rsidP="00E378C2">
          <w:pPr>
            <w:pStyle w:val="TOCHeading"/>
          </w:pPr>
          <w:r w:rsidRPr="00FB42ED">
            <w:t>Contents</w:t>
          </w:r>
        </w:p>
        <w:p w14:paraId="69455675" w14:textId="77777777" w:rsidR="005A255A" w:rsidRDefault="00D771E1">
          <w:pPr>
            <w:pStyle w:val="TOC1"/>
            <w:tabs>
              <w:tab w:val="right" w:leader="dot" w:pos="9016"/>
            </w:tabs>
            <w:rPr>
              <w:rFonts w:eastAsiaTheme="minorEastAsia"/>
              <w:noProof/>
              <w:lang w:eastAsia="en-NZ"/>
            </w:rPr>
          </w:pPr>
          <w:r w:rsidRPr="00FB42ED">
            <w:rPr>
              <w:rFonts w:asciiTheme="majorHAnsi" w:hAnsiTheme="majorHAnsi"/>
            </w:rPr>
            <w:fldChar w:fldCharType="begin"/>
          </w:r>
          <w:r w:rsidRPr="00FB42ED">
            <w:rPr>
              <w:rFonts w:asciiTheme="majorHAnsi" w:hAnsiTheme="majorHAnsi"/>
            </w:rPr>
            <w:instrText xml:space="preserve"> TOC \o "1-3" \h \z \u </w:instrText>
          </w:r>
          <w:r w:rsidRPr="00FB42ED">
            <w:rPr>
              <w:rFonts w:asciiTheme="majorHAnsi" w:hAnsiTheme="majorHAnsi"/>
            </w:rPr>
            <w:fldChar w:fldCharType="separate"/>
          </w:r>
          <w:hyperlink w:anchor="_Toc474408876" w:history="1">
            <w:r w:rsidR="005A255A" w:rsidRPr="004441D5">
              <w:rPr>
                <w:rStyle w:val="Hyperlink"/>
                <w:noProof/>
              </w:rPr>
              <w:t>About Medsafe</w:t>
            </w:r>
            <w:r w:rsidR="005A255A">
              <w:rPr>
                <w:noProof/>
                <w:webHidden/>
              </w:rPr>
              <w:tab/>
            </w:r>
            <w:r w:rsidR="005A255A">
              <w:rPr>
                <w:noProof/>
                <w:webHidden/>
              </w:rPr>
              <w:fldChar w:fldCharType="begin"/>
            </w:r>
            <w:r w:rsidR="005A255A">
              <w:rPr>
                <w:noProof/>
                <w:webHidden/>
              </w:rPr>
              <w:instrText xml:space="preserve"> PAGEREF _Toc474408876 \h </w:instrText>
            </w:r>
            <w:r w:rsidR="005A255A">
              <w:rPr>
                <w:noProof/>
                <w:webHidden/>
              </w:rPr>
            </w:r>
            <w:r w:rsidR="005A255A">
              <w:rPr>
                <w:noProof/>
                <w:webHidden/>
              </w:rPr>
              <w:fldChar w:fldCharType="separate"/>
            </w:r>
            <w:r w:rsidR="005A255A">
              <w:rPr>
                <w:noProof/>
                <w:webHidden/>
              </w:rPr>
              <w:t>3</w:t>
            </w:r>
            <w:r w:rsidR="005A255A">
              <w:rPr>
                <w:noProof/>
                <w:webHidden/>
              </w:rPr>
              <w:fldChar w:fldCharType="end"/>
            </w:r>
          </w:hyperlink>
        </w:p>
        <w:p w14:paraId="2412C476" w14:textId="77777777" w:rsidR="005A255A" w:rsidRDefault="00206404">
          <w:pPr>
            <w:pStyle w:val="TOC1"/>
            <w:tabs>
              <w:tab w:val="right" w:leader="dot" w:pos="9016"/>
            </w:tabs>
            <w:rPr>
              <w:rFonts w:eastAsiaTheme="minorEastAsia"/>
              <w:noProof/>
              <w:lang w:eastAsia="en-NZ"/>
            </w:rPr>
          </w:pPr>
          <w:hyperlink w:anchor="_Toc474408877" w:history="1">
            <w:r w:rsidR="005A255A" w:rsidRPr="004441D5">
              <w:rPr>
                <w:rStyle w:val="Hyperlink"/>
                <w:noProof/>
              </w:rPr>
              <w:t>Background</w:t>
            </w:r>
            <w:r w:rsidR="005A255A">
              <w:rPr>
                <w:noProof/>
                <w:webHidden/>
              </w:rPr>
              <w:tab/>
            </w:r>
            <w:r w:rsidR="005A255A">
              <w:rPr>
                <w:noProof/>
                <w:webHidden/>
              </w:rPr>
              <w:fldChar w:fldCharType="begin"/>
            </w:r>
            <w:r w:rsidR="005A255A">
              <w:rPr>
                <w:noProof/>
                <w:webHidden/>
              </w:rPr>
              <w:instrText xml:space="preserve"> PAGEREF _Toc474408877 \h </w:instrText>
            </w:r>
            <w:r w:rsidR="005A255A">
              <w:rPr>
                <w:noProof/>
                <w:webHidden/>
              </w:rPr>
            </w:r>
            <w:r w:rsidR="005A255A">
              <w:rPr>
                <w:noProof/>
                <w:webHidden/>
              </w:rPr>
              <w:fldChar w:fldCharType="separate"/>
            </w:r>
            <w:r w:rsidR="005A255A">
              <w:rPr>
                <w:noProof/>
                <w:webHidden/>
              </w:rPr>
              <w:t>3</w:t>
            </w:r>
            <w:r w:rsidR="005A255A">
              <w:rPr>
                <w:noProof/>
                <w:webHidden/>
              </w:rPr>
              <w:fldChar w:fldCharType="end"/>
            </w:r>
          </w:hyperlink>
        </w:p>
        <w:p w14:paraId="7F07A34D" w14:textId="77777777" w:rsidR="005A255A" w:rsidRDefault="00206404">
          <w:pPr>
            <w:pStyle w:val="TOC1"/>
            <w:tabs>
              <w:tab w:val="right" w:leader="dot" w:pos="9016"/>
            </w:tabs>
            <w:rPr>
              <w:rFonts w:eastAsiaTheme="minorEastAsia"/>
              <w:noProof/>
              <w:lang w:eastAsia="en-NZ"/>
            </w:rPr>
          </w:pPr>
          <w:hyperlink w:anchor="_Toc474408878" w:history="1">
            <w:r w:rsidR="005A255A" w:rsidRPr="004441D5">
              <w:rPr>
                <w:rStyle w:val="Hyperlink"/>
                <w:noProof/>
              </w:rPr>
              <w:t>Introduction</w:t>
            </w:r>
            <w:r w:rsidR="005A255A">
              <w:rPr>
                <w:noProof/>
                <w:webHidden/>
              </w:rPr>
              <w:tab/>
            </w:r>
            <w:r w:rsidR="005A255A">
              <w:rPr>
                <w:noProof/>
                <w:webHidden/>
              </w:rPr>
              <w:fldChar w:fldCharType="begin"/>
            </w:r>
            <w:r w:rsidR="005A255A">
              <w:rPr>
                <w:noProof/>
                <w:webHidden/>
              </w:rPr>
              <w:instrText xml:space="preserve"> PAGEREF _Toc474408878 \h </w:instrText>
            </w:r>
            <w:r w:rsidR="005A255A">
              <w:rPr>
                <w:noProof/>
                <w:webHidden/>
              </w:rPr>
            </w:r>
            <w:r w:rsidR="005A255A">
              <w:rPr>
                <w:noProof/>
                <w:webHidden/>
              </w:rPr>
              <w:fldChar w:fldCharType="separate"/>
            </w:r>
            <w:r w:rsidR="005A255A">
              <w:rPr>
                <w:noProof/>
                <w:webHidden/>
              </w:rPr>
              <w:t>4</w:t>
            </w:r>
            <w:r w:rsidR="005A255A">
              <w:rPr>
                <w:noProof/>
                <w:webHidden/>
              </w:rPr>
              <w:fldChar w:fldCharType="end"/>
            </w:r>
          </w:hyperlink>
        </w:p>
        <w:p w14:paraId="6310C944" w14:textId="77777777" w:rsidR="005A255A" w:rsidRDefault="00206404">
          <w:pPr>
            <w:pStyle w:val="TOC1"/>
            <w:tabs>
              <w:tab w:val="right" w:leader="dot" w:pos="9016"/>
            </w:tabs>
            <w:rPr>
              <w:rFonts w:eastAsiaTheme="minorEastAsia"/>
              <w:noProof/>
              <w:lang w:eastAsia="en-NZ"/>
            </w:rPr>
          </w:pPr>
          <w:hyperlink w:anchor="_Toc474408879" w:history="1">
            <w:r w:rsidR="005A255A" w:rsidRPr="004441D5">
              <w:rPr>
                <w:rStyle w:val="Hyperlink"/>
                <w:noProof/>
              </w:rPr>
              <w:t>Interaction between warfarin and topical miconazole containing medicines</w:t>
            </w:r>
            <w:r w:rsidR="005A255A">
              <w:rPr>
                <w:noProof/>
                <w:webHidden/>
              </w:rPr>
              <w:tab/>
            </w:r>
            <w:r w:rsidR="005A255A">
              <w:rPr>
                <w:noProof/>
                <w:webHidden/>
              </w:rPr>
              <w:fldChar w:fldCharType="begin"/>
            </w:r>
            <w:r w:rsidR="005A255A">
              <w:rPr>
                <w:noProof/>
                <w:webHidden/>
              </w:rPr>
              <w:instrText xml:space="preserve"> PAGEREF _Toc474408879 \h </w:instrText>
            </w:r>
            <w:r w:rsidR="005A255A">
              <w:rPr>
                <w:noProof/>
                <w:webHidden/>
              </w:rPr>
            </w:r>
            <w:r w:rsidR="005A255A">
              <w:rPr>
                <w:noProof/>
                <w:webHidden/>
              </w:rPr>
              <w:fldChar w:fldCharType="separate"/>
            </w:r>
            <w:r w:rsidR="005A255A">
              <w:rPr>
                <w:noProof/>
                <w:webHidden/>
              </w:rPr>
              <w:t>5</w:t>
            </w:r>
            <w:r w:rsidR="005A255A">
              <w:rPr>
                <w:noProof/>
                <w:webHidden/>
              </w:rPr>
              <w:fldChar w:fldCharType="end"/>
            </w:r>
          </w:hyperlink>
        </w:p>
        <w:p w14:paraId="16061F21" w14:textId="77777777" w:rsidR="005A255A" w:rsidRDefault="00206404">
          <w:pPr>
            <w:pStyle w:val="TOC2"/>
            <w:tabs>
              <w:tab w:val="right" w:leader="dot" w:pos="9016"/>
            </w:tabs>
            <w:rPr>
              <w:rFonts w:eastAsiaTheme="minorEastAsia"/>
              <w:noProof/>
              <w:lang w:eastAsia="en-NZ"/>
            </w:rPr>
          </w:pPr>
          <w:hyperlink w:anchor="_Toc474408880" w:history="1">
            <w:r w:rsidR="005A255A" w:rsidRPr="004441D5">
              <w:rPr>
                <w:rStyle w:val="Hyperlink"/>
                <w:noProof/>
              </w:rPr>
              <w:t>Case reports</w:t>
            </w:r>
            <w:r w:rsidR="005A255A">
              <w:rPr>
                <w:noProof/>
                <w:webHidden/>
              </w:rPr>
              <w:tab/>
            </w:r>
            <w:r w:rsidR="005A255A">
              <w:rPr>
                <w:noProof/>
                <w:webHidden/>
              </w:rPr>
              <w:fldChar w:fldCharType="begin"/>
            </w:r>
            <w:r w:rsidR="005A255A">
              <w:rPr>
                <w:noProof/>
                <w:webHidden/>
              </w:rPr>
              <w:instrText xml:space="preserve"> PAGEREF _Toc474408880 \h </w:instrText>
            </w:r>
            <w:r w:rsidR="005A255A">
              <w:rPr>
                <w:noProof/>
                <w:webHidden/>
              </w:rPr>
            </w:r>
            <w:r w:rsidR="005A255A">
              <w:rPr>
                <w:noProof/>
                <w:webHidden/>
              </w:rPr>
              <w:fldChar w:fldCharType="separate"/>
            </w:r>
            <w:r w:rsidR="005A255A">
              <w:rPr>
                <w:noProof/>
                <w:webHidden/>
              </w:rPr>
              <w:t>5</w:t>
            </w:r>
            <w:r w:rsidR="005A255A">
              <w:rPr>
                <w:noProof/>
                <w:webHidden/>
              </w:rPr>
              <w:fldChar w:fldCharType="end"/>
            </w:r>
          </w:hyperlink>
        </w:p>
        <w:p w14:paraId="03E4FE46" w14:textId="77777777" w:rsidR="005A255A" w:rsidRDefault="00206404">
          <w:pPr>
            <w:pStyle w:val="TOC2"/>
            <w:tabs>
              <w:tab w:val="right" w:leader="dot" w:pos="9016"/>
            </w:tabs>
            <w:rPr>
              <w:rFonts w:eastAsiaTheme="minorEastAsia"/>
              <w:noProof/>
              <w:lang w:eastAsia="en-NZ"/>
            </w:rPr>
          </w:pPr>
          <w:hyperlink w:anchor="_Toc474408881" w:history="1">
            <w:r w:rsidR="005A255A" w:rsidRPr="004441D5">
              <w:rPr>
                <w:rStyle w:val="Hyperlink"/>
                <w:noProof/>
              </w:rPr>
              <w:t>Clinical studies</w:t>
            </w:r>
            <w:r w:rsidR="005A255A">
              <w:rPr>
                <w:noProof/>
                <w:webHidden/>
              </w:rPr>
              <w:tab/>
            </w:r>
            <w:r w:rsidR="005A255A">
              <w:rPr>
                <w:noProof/>
                <w:webHidden/>
              </w:rPr>
              <w:fldChar w:fldCharType="begin"/>
            </w:r>
            <w:r w:rsidR="005A255A">
              <w:rPr>
                <w:noProof/>
                <w:webHidden/>
              </w:rPr>
              <w:instrText xml:space="preserve"> PAGEREF _Toc474408881 \h </w:instrText>
            </w:r>
            <w:r w:rsidR="005A255A">
              <w:rPr>
                <w:noProof/>
                <w:webHidden/>
              </w:rPr>
            </w:r>
            <w:r w:rsidR="005A255A">
              <w:rPr>
                <w:noProof/>
                <w:webHidden/>
              </w:rPr>
              <w:fldChar w:fldCharType="separate"/>
            </w:r>
            <w:r w:rsidR="005A255A">
              <w:rPr>
                <w:noProof/>
                <w:webHidden/>
              </w:rPr>
              <w:t>6</w:t>
            </w:r>
            <w:r w:rsidR="005A255A">
              <w:rPr>
                <w:noProof/>
                <w:webHidden/>
              </w:rPr>
              <w:fldChar w:fldCharType="end"/>
            </w:r>
          </w:hyperlink>
        </w:p>
        <w:p w14:paraId="02FB6946" w14:textId="77777777" w:rsidR="005A255A" w:rsidRDefault="00206404">
          <w:pPr>
            <w:pStyle w:val="TOC2"/>
            <w:tabs>
              <w:tab w:val="right" w:leader="dot" w:pos="9016"/>
            </w:tabs>
            <w:rPr>
              <w:rFonts w:eastAsiaTheme="minorEastAsia"/>
              <w:noProof/>
              <w:lang w:eastAsia="en-NZ"/>
            </w:rPr>
          </w:pPr>
          <w:hyperlink w:anchor="_Toc474408882" w:history="1">
            <w:r w:rsidR="005A255A" w:rsidRPr="004441D5">
              <w:rPr>
                <w:rStyle w:val="Hyperlink"/>
                <w:noProof/>
              </w:rPr>
              <w:t>Cases reported to the Centre for Adverse Reactions Monitoring</w:t>
            </w:r>
            <w:r w:rsidR="005A255A">
              <w:rPr>
                <w:noProof/>
                <w:webHidden/>
              </w:rPr>
              <w:tab/>
            </w:r>
            <w:r w:rsidR="005A255A">
              <w:rPr>
                <w:noProof/>
                <w:webHidden/>
              </w:rPr>
              <w:fldChar w:fldCharType="begin"/>
            </w:r>
            <w:r w:rsidR="005A255A">
              <w:rPr>
                <w:noProof/>
                <w:webHidden/>
              </w:rPr>
              <w:instrText xml:space="preserve"> PAGEREF _Toc474408882 \h </w:instrText>
            </w:r>
            <w:r w:rsidR="005A255A">
              <w:rPr>
                <w:noProof/>
                <w:webHidden/>
              </w:rPr>
            </w:r>
            <w:r w:rsidR="005A255A">
              <w:rPr>
                <w:noProof/>
                <w:webHidden/>
              </w:rPr>
              <w:fldChar w:fldCharType="separate"/>
            </w:r>
            <w:r w:rsidR="005A255A">
              <w:rPr>
                <w:noProof/>
                <w:webHidden/>
              </w:rPr>
              <w:t>7</w:t>
            </w:r>
            <w:r w:rsidR="005A255A">
              <w:rPr>
                <w:noProof/>
                <w:webHidden/>
              </w:rPr>
              <w:fldChar w:fldCharType="end"/>
            </w:r>
          </w:hyperlink>
        </w:p>
        <w:p w14:paraId="02024B7F" w14:textId="77777777" w:rsidR="005A255A" w:rsidRDefault="00206404">
          <w:pPr>
            <w:pStyle w:val="TOC2"/>
            <w:tabs>
              <w:tab w:val="right" w:leader="dot" w:pos="9016"/>
            </w:tabs>
            <w:rPr>
              <w:rFonts w:eastAsiaTheme="minorEastAsia"/>
              <w:noProof/>
              <w:lang w:eastAsia="en-NZ"/>
            </w:rPr>
          </w:pPr>
          <w:hyperlink w:anchor="_Toc474408883" w:history="1">
            <w:r w:rsidR="005A255A" w:rsidRPr="004441D5">
              <w:rPr>
                <w:rStyle w:val="Hyperlink"/>
                <w:noProof/>
              </w:rPr>
              <w:t>Information published by other Regulators</w:t>
            </w:r>
            <w:r w:rsidR="005A255A">
              <w:rPr>
                <w:noProof/>
                <w:webHidden/>
              </w:rPr>
              <w:tab/>
            </w:r>
            <w:r w:rsidR="005A255A">
              <w:rPr>
                <w:noProof/>
                <w:webHidden/>
              </w:rPr>
              <w:fldChar w:fldCharType="begin"/>
            </w:r>
            <w:r w:rsidR="005A255A">
              <w:rPr>
                <w:noProof/>
                <w:webHidden/>
              </w:rPr>
              <w:instrText xml:space="preserve"> PAGEREF _Toc474408883 \h </w:instrText>
            </w:r>
            <w:r w:rsidR="005A255A">
              <w:rPr>
                <w:noProof/>
                <w:webHidden/>
              </w:rPr>
            </w:r>
            <w:r w:rsidR="005A255A">
              <w:rPr>
                <w:noProof/>
                <w:webHidden/>
              </w:rPr>
              <w:fldChar w:fldCharType="separate"/>
            </w:r>
            <w:r w:rsidR="005A255A">
              <w:rPr>
                <w:noProof/>
                <w:webHidden/>
              </w:rPr>
              <w:t>8</w:t>
            </w:r>
            <w:r w:rsidR="005A255A">
              <w:rPr>
                <w:noProof/>
                <w:webHidden/>
              </w:rPr>
              <w:fldChar w:fldCharType="end"/>
            </w:r>
          </w:hyperlink>
        </w:p>
        <w:p w14:paraId="2D16E8EF" w14:textId="77777777" w:rsidR="005A255A" w:rsidRDefault="00206404">
          <w:pPr>
            <w:pStyle w:val="TOC3"/>
            <w:rPr>
              <w:rFonts w:eastAsiaTheme="minorEastAsia"/>
              <w:lang w:eastAsia="en-NZ"/>
            </w:rPr>
          </w:pPr>
          <w:hyperlink w:anchor="_Toc474408884" w:history="1">
            <w:r w:rsidR="005A255A" w:rsidRPr="004441D5">
              <w:rPr>
                <w:rStyle w:val="Hyperlink"/>
              </w:rPr>
              <w:t>MHRA</w:t>
            </w:r>
            <w:r w:rsidR="005A255A">
              <w:rPr>
                <w:webHidden/>
              </w:rPr>
              <w:tab/>
            </w:r>
            <w:r w:rsidR="005A255A">
              <w:rPr>
                <w:webHidden/>
              </w:rPr>
              <w:fldChar w:fldCharType="begin"/>
            </w:r>
            <w:r w:rsidR="005A255A">
              <w:rPr>
                <w:webHidden/>
              </w:rPr>
              <w:instrText xml:space="preserve"> PAGEREF _Toc474408884 \h </w:instrText>
            </w:r>
            <w:r w:rsidR="005A255A">
              <w:rPr>
                <w:webHidden/>
              </w:rPr>
            </w:r>
            <w:r w:rsidR="005A255A">
              <w:rPr>
                <w:webHidden/>
              </w:rPr>
              <w:fldChar w:fldCharType="separate"/>
            </w:r>
            <w:r w:rsidR="005A255A">
              <w:rPr>
                <w:webHidden/>
              </w:rPr>
              <w:t>8</w:t>
            </w:r>
            <w:r w:rsidR="005A255A">
              <w:rPr>
                <w:webHidden/>
              </w:rPr>
              <w:fldChar w:fldCharType="end"/>
            </w:r>
          </w:hyperlink>
        </w:p>
        <w:p w14:paraId="62F2E039" w14:textId="77777777" w:rsidR="005A255A" w:rsidRDefault="00206404">
          <w:pPr>
            <w:pStyle w:val="TOC3"/>
            <w:rPr>
              <w:rFonts w:eastAsiaTheme="minorEastAsia"/>
              <w:lang w:eastAsia="en-NZ"/>
            </w:rPr>
          </w:pPr>
          <w:hyperlink w:anchor="_Toc474408885" w:history="1">
            <w:r w:rsidR="005A255A" w:rsidRPr="004441D5">
              <w:rPr>
                <w:rStyle w:val="Hyperlink"/>
              </w:rPr>
              <w:t>Health Canada</w:t>
            </w:r>
            <w:r w:rsidR="005A255A">
              <w:rPr>
                <w:webHidden/>
              </w:rPr>
              <w:tab/>
            </w:r>
            <w:r w:rsidR="005A255A">
              <w:rPr>
                <w:webHidden/>
              </w:rPr>
              <w:fldChar w:fldCharType="begin"/>
            </w:r>
            <w:r w:rsidR="005A255A">
              <w:rPr>
                <w:webHidden/>
              </w:rPr>
              <w:instrText xml:space="preserve"> PAGEREF _Toc474408885 \h </w:instrText>
            </w:r>
            <w:r w:rsidR="005A255A">
              <w:rPr>
                <w:webHidden/>
              </w:rPr>
            </w:r>
            <w:r w:rsidR="005A255A">
              <w:rPr>
                <w:webHidden/>
              </w:rPr>
              <w:fldChar w:fldCharType="separate"/>
            </w:r>
            <w:r w:rsidR="005A255A">
              <w:rPr>
                <w:webHidden/>
              </w:rPr>
              <w:t>8</w:t>
            </w:r>
            <w:r w:rsidR="005A255A">
              <w:rPr>
                <w:webHidden/>
              </w:rPr>
              <w:fldChar w:fldCharType="end"/>
            </w:r>
          </w:hyperlink>
        </w:p>
        <w:p w14:paraId="1A90E73E" w14:textId="77777777" w:rsidR="005A255A" w:rsidRDefault="00206404">
          <w:pPr>
            <w:pStyle w:val="TOC3"/>
            <w:rPr>
              <w:rFonts w:eastAsiaTheme="minorEastAsia"/>
              <w:lang w:eastAsia="en-NZ"/>
            </w:rPr>
          </w:pPr>
          <w:hyperlink w:anchor="_Toc474408886" w:history="1">
            <w:r w:rsidR="005A255A" w:rsidRPr="004441D5">
              <w:rPr>
                <w:rStyle w:val="Hyperlink"/>
              </w:rPr>
              <w:t>FDA</w:t>
            </w:r>
            <w:r w:rsidR="005A255A">
              <w:rPr>
                <w:webHidden/>
              </w:rPr>
              <w:tab/>
            </w:r>
            <w:r w:rsidR="005A255A">
              <w:rPr>
                <w:webHidden/>
              </w:rPr>
              <w:fldChar w:fldCharType="begin"/>
            </w:r>
            <w:r w:rsidR="005A255A">
              <w:rPr>
                <w:webHidden/>
              </w:rPr>
              <w:instrText xml:space="preserve"> PAGEREF _Toc474408886 \h </w:instrText>
            </w:r>
            <w:r w:rsidR="005A255A">
              <w:rPr>
                <w:webHidden/>
              </w:rPr>
            </w:r>
            <w:r w:rsidR="005A255A">
              <w:rPr>
                <w:webHidden/>
              </w:rPr>
              <w:fldChar w:fldCharType="separate"/>
            </w:r>
            <w:r w:rsidR="005A255A">
              <w:rPr>
                <w:webHidden/>
              </w:rPr>
              <w:t>8</w:t>
            </w:r>
            <w:r w:rsidR="005A255A">
              <w:rPr>
                <w:webHidden/>
              </w:rPr>
              <w:fldChar w:fldCharType="end"/>
            </w:r>
          </w:hyperlink>
        </w:p>
        <w:p w14:paraId="4403E4A7" w14:textId="77777777" w:rsidR="005A255A" w:rsidRDefault="00206404">
          <w:pPr>
            <w:pStyle w:val="TOC1"/>
            <w:tabs>
              <w:tab w:val="right" w:leader="dot" w:pos="9016"/>
            </w:tabs>
            <w:rPr>
              <w:rFonts w:eastAsiaTheme="minorEastAsia"/>
              <w:noProof/>
              <w:lang w:eastAsia="en-NZ"/>
            </w:rPr>
          </w:pPr>
          <w:hyperlink w:anchor="_Toc474408887" w:history="1">
            <w:r w:rsidR="005A255A" w:rsidRPr="004441D5">
              <w:rPr>
                <w:rStyle w:val="Hyperlink"/>
                <w:noProof/>
              </w:rPr>
              <w:t>Harmonisation with Australian required statements</w:t>
            </w:r>
            <w:r w:rsidR="005A255A">
              <w:rPr>
                <w:noProof/>
                <w:webHidden/>
              </w:rPr>
              <w:tab/>
            </w:r>
            <w:r w:rsidR="005A255A">
              <w:rPr>
                <w:noProof/>
                <w:webHidden/>
              </w:rPr>
              <w:fldChar w:fldCharType="begin"/>
            </w:r>
            <w:r w:rsidR="005A255A">
              <w:rPr>
                <w:noProof/>
                <w:webHidden/>
              </w:rPr>
              <w:instrText xml:space="preserve"> PAGEREF _Toc474408887 \h </w:instrText>
            </w:r>
            <w:r w:rsidR="005A255A">
              <w:rPr>
                <w:noProof/>
                <w:webHidden/>
              </w:rPr>
            </w:r>
            <w:r w:rsidR="005A255A">
              <w:rPr>
                <w:noProof/>
                <w:webHidden/>
              </w:rPr>
              <w:fldChar w:fldCharType="separate"/>
            </w:r>
            <w:r w:rsidR="005A255A">
              <w:rPr>
                <w:noProof/>
                <w:webHidden/>
              </w:rPr>
              <w:t>9</w:t>
            </w:r>
            <w:r w:rsidR="005A255A">
              <w:rPr>
                <w:noProof/>
                <w:webHidden/>
              </w:rPr>
              <w:fldChar w:fldCharType="end"/>
            </w:r>
          </w:hyperlink>
        </w:p>
        <w:p w14:paraId="6467BE2C" w14:textId="77777777" w:rsidR="005A255A" w:rsidRDefault="00206404">
          <w:pPr>
            <w:pStyle w:val="TOC1"/>
            <w:tabs>
              <w:tab w:val="right" w:leader="dot" w:pos="9016"/>
            </w:tabs>
            <w:rPr>
              <w:rFonts w:eastAsiaTheme="minorEastAsia"/>
              <w:noProof/>
              <w:lang w:eastAsia="en-NZ"/>
            </w:rPr>
          </w:pPr>
          <w:hyperlink w:anchor="_Toc474408888" w:history="1">
            <w:r w:rsidR="005A255A" w:rsidRPr="004441D5">
              <w:rPr>
                <w:rStyle w:val="Hyperlink"/>
                <w:noProof/>
              </w:rPr>
              <w:t>Products Affected</w:t>
            </w:r>
            <w:r w:rsidR="005A255A">
              <w:rPr>
                <w:noProof/>
                <w:webHidden/>
              </w:rPr>
              <w:tab/>
            </w:r>
            <w:r w:rsidR="005A255A">
              <w:rPr>
                <w:noProof/>
                <w:webHidden/>
              </w:rPr>
              <w:fldChar w:fldCharType="begin"/>
            </w:r>
            <w:r w:rsidR="005A255A">
              <w:rPr>
                <w:noProof/>
                <w:webHidden/>
              </w:rPr>
              <w:instrText xml:space="preserve"> PAGEREF _Toc474408888 \h </w:instrText>
            </w:r>
            <w:r w:rsidR="005A255A">
              <w:rPr>
                <w:noProof/>
                <w:webHidden/>
              </w:rPr>
            </w:r>
            <w:r w:rsidR="005A255A">
              <w:rPr>
                <w:noProof/>
                <w:webHidden/>
              </w:rPr>
              <w:fldChar w:fldCharType="separate"/>
            </w:r>
            <w:r w:rsidR="005A255A">
              <w:rPr>
                <w:noProof/>
                <w:webHidden/>
              </w:rPr>
              <w:t>10</w:t>
            </w:r>
            <w:r w:rsidR="005A255A">
              <w:rPr>
                <w:noProof/>
                <w:webHidden/>
              </w:rPr>
              <w:fldChar w:fldCharType="end"/>
            </w:r>
          </w:hyperlink>
        </w:p>
        <w:p w14:paraId="7AF78036" w14:textId="77777777" w:rsidR="005A255A" w:rsidRDefault="00206404">
          <w:pPr>
            <w:pStyle w:val="TOC1"/>
            <w:tabs>
              <w:tab w:val="right" w:leader="dot" w:pos="9016"/>
            </w:tabs>
            <w:rPr>
              <w:rFonts w:eastAsiaTheme="minorEastAsia"/>
              <w:noProof/>
              <w:lang w:eastAsia="en-NZ"/>
            </w:rPr>
          </w:pPr>
          <w:hyperlink w:anchor="_Toc474408889" w:history="1">
            <w:r w:rsidR="005A255A" w:rsidRPr="004441D5">
              <w:rPr>
                <w:rStyle w:val="Hyperlink"/>
                <w:noProof/>
              </w:rPr>
              <w:t>Discussion and conclusions</w:t>
            </w:r>
            <w:r w:rsidR="005A255A">
              <w:rPr>
                <w:noProof/>
                <w:webHidden/>
              </w:rPr>
              <w:tab/>
            </w:r>
            <w:r w:rsidR="005A255A">
              <w:rPr>
                <w:noProof/>
                <w:webHidden/>
              </w:rPr>
              <w:fldChar w:fldCharType="begin"/>
            </w:r>
            <w:r w:rsidR="005A255A">
              <w:rPr>
                <w:noProof/>
                <w:webHidden/>
              </w:rPr>
              <w:instrText xml:space="preserve"> PAGEREF _Toc474408889 \h </w:instrText>
            </w:r>
            <w:r w:rsidR="005A255A">
              <w:rPr>
                <w:noProof/>
                <w:webHidden/>
              </w:rPr>
            </w:r>
            <w:r w:rsidR="005A255A">
              <w:rPr>
                <w:noProof/>
                <w:webHidden/>
              </w:rPr>
              <w:fldChar w:fldCharType="separate"/>
            </w:r>
            <w:r w:rsidR="005A255A">
              <w:rPr>
                <w:noProof/>
                <w:webHidden/>
              </w:rPr>
              <w:t>11</w:t>
            </w:r>
            <w:r w:rsidR="005A255A">
              <w:rPr>
                <w:noProof/>
                <w:webHidden/>
              </w:rPr>
              <w:fldChar w:fldCharType="end"/>
            </w:r>
          </w:hyperlink>
        </w:p>
        <w:p w14:paraId="03FE9CD8" w14:textId="77777777" w:rsidR="005A255A" w:rsidRDefault="00206404">
          <w:pPr>
            <w:pStyle w:val="TOC1"/>
            <w:tabs>
              <w:tab w:val="right" w:leader="dot" w:pos="9016"/>
            </w:tabs>
            <w:rPr>
              <w:rFonts w:eastAsiaTheme="minorEastAsia"/>
              <w:noProof/>
              <w:lang w:eastAsia="en-NZ"/>
            </w:rPr>
          </w:pPr>
          <w:hyperlink w:anchor="_Toc474408890" w:history="1">
            <w:r w:rsidR="005A255A" w:rsidRPr="004441D5">
              <w:rPr>
                <w:rStyle w:val="Hyperlink"/>
                <w:noProof/>
              </w:rPr>
              <w:t>Proposed Label Statements</w:t>
            </w:r>
            <w:r w:rsidR="005A255A">
              <w:rPr>
                <w:noProof/>
                <w:webHidden/>
              </w:rPr>
              <w:tab/>
            </w:r>
            <w:r w:rsidR="005A255A">
              <w:rPr>
                <w:noProof/>
                <w:webHidden/>
              </w:rPr>
              <w:fldChar w:fldCharType="begin"/>
            </w:r>
            <w:r w:rsidR="005A255A">
              <w:rPr>
                <w:noProof/>
                <w:webHidden/>
              </w:rPr>
              <w:instrText xml:space="preserve"> PAGEREF _Toc474408890 \h </w:instrText>
            </w:r>
            <w:r w:rsidR="005A255A">
              <w:rPr>
                <w:noProof/>
                <w:webHidden/>
              </w:rPr>
            </w:r>
            <w:r w:rsidR="005A255A">
              <w:rPr>
                <w:noProof/>
                <w:webHidden/>
              </w:rPr>
              <w:fldChar w:fldCharType="separate"/>
            </w:r>
            <w:r w:rsidR="005A255A">
              <w:rPr>
                <w:noProof/>
                <w:webHidden/>
              </w:rPr>
              <w:t>12</w:t>
            </w:r>
            <w:r w:rsidR="005A255A">
              <w:rPr>
                <w:noProof/>
                <w:webHidden/>
              </w:rPr>
              <w:fldChar w:fldCharType="end"/>
            </w:r>
          </w:hyperlink>
        </w:p>
        <w:p w14:paraId="59D3BC72" w14:textId="77777777" w:rsidR="005A255A" w:rsidRDefault="00206404">
          <w:pPr>
            <w:pStyle w:val="TOC1"/>
            <w:tabs>
              <w:tab w:val="right" w:leader="dot" w:pos="9016"/>
            </w:tabs>
            <w:rPr>
              <w:rFonts w:eastAsiaTheme="minorEastAsia"/>
              <w:noProof/>
              <w:lang w:eastAsia="en-NZ"/>
            </w:rPr>
          </w:pPr>
          <w:hyperlink w:anchor="_Toc474408891" w:history="1">
            <w:r w:rsidR="005A255A" w:rsidRPr="004441D5">
              <w:rPr>
                <w:rStyle w:val="Hyperlink"/>
                <w:noProof/>
              </w:rPr>
              <w:t>References</w:t>
            </w:r>
            <w:r w:rsidR="005A255A">
              <w:rPr>
                <w:noProof/>
                <w:webHidden/>
              </w:rPr>
              <w:tab/>
            </w:r>
            <w:r w:rsidR="005A255A">
              <w:rPr>
                <w:noProof/>
                <w:webHidden/>
              </w:rPr>
              <w:fldChar w:fldCharType="begin"/>
            </w:r>
            <w:r w:rsidR="005A255A">
              <w:rPr>
                <w:noProof/>
                <w:webHidden/>
              </w:rPr>
              <w:instrText xml:space="preserve"> PAGEREF _Toc474408891 \h </w:instrText>
            </w:r>
            <w:r w:rsidR="005A255A">
              <w:rPr>
                <w:noProof/>
                <w:webHidden/>
              </w:rPr>
            </w:r>
            <w:r w:rsidR="005A255A">
              <w:rPr>
                <w:noProof/>
                <w:webHidden/>
              </w:rPr>
              <w:fldChar w:fldCharType="separate"/>
            </w:r>
            <w:r w:rsidR="005A255A">
              <w:rPr>
                <w:noProof/>
                <w:webHidden/>
              </w:rPr>
              <w:t>13</w:t>
            </w:r>
            <w:r w:rsidR="005A255A">
              <w:rPr>
                <w:noProof/>
                <w:webHidden/>
              </w:rPr>
              <w:fldChar w:fldCharType="end"/>
            </w:r>
          </w:hyperlink>
        </w:p>
        <w:p w14:paraId="0788F9DF" w14:textId="77777777" w:rsidR="00D771E1" w:rsidRDefault="00D771E1" w:rsidP="00D771E1">
          <w:r w:rsidRPr="00FB42ED">
            <w:rPr>
              <w:rFonts w:asciiTheme="majorHAnsi" w:hAnsiTheme="majorHAnsi"/>
              <w:b/>
              <w:bCs/>
              <w:noProof/>
            </w:rPr>
            <w:fldChar w:fldCharType="end"/>
          </w:r>
        </w:p>
      </w:sdtContent>
    </w:sdt>
    <w:p w14:paraId="2CE6A014" w14:textId="77777777" w:rsidR="00574269" w:rsidRPr="00574269" w:rsidRDefault="00574269" w:rsidP="00574269">
      <w:pPr>
        <w:rPr>
          <w:lang w:val="en-GB"/>
        </w:rPr>
      </w:pPr>
    </w:p>
    <w:p w14:paraId="2697DE5B" w14:textId="77777777" w:rsidR="00785336" w:rsidRDefault="00785336" w:rsidP="00D771E1">
      <w:pPr>
        <w:rPr>
          <w:rFonts w:asciiTheme="majorHAnsi" w:eastAsiaTheme="majorEastAsia" w:hAnsiTheme="majorHAnsi" w:cstheme="majorBidi"/>
          <w:b/>
          <w:bCs/>
          <w:color w:val="002060"/>
          <w:szCs w:val="24"/>
          <w:lang w:val="en-GB"/>
        </w:rPr>
      </w:pPr>
      <w:r>
        <w:rPr>
          <w:color w:val="002060"/>
          <w:szCs w:val="24"/>
          <w:lang w:val="en-GB"/>
        </w:rPr>
        <w:br w:type="page"/>
      </w:r>
    </w:p>
    <w:p w14:paraId="2B3A20A7" w14:textId="77777777" w:rsidR="00FB42ED" w:rsidRPr="00FB42ED" w:rsidRDefault="00FB42ED" w:rsidP="00E378C2">
      <w:pPr>
        <w:pStyle w:val="Heading1"/>
      </w:pPr>
      <w:bookmarkStart w:id="0" w:name="_Toc474408876"/>
      <w:bookmarkStart w:id="1" w:name="_Toc356457764"/>
      <w:bookmarkStart w:id="2" w:name="_Toc355959707"/>
      <w:r w:rsidRPr="00FB42ED">
        <w:lastRenderedPageBreak/>
        <w:t>About Medsafe</w:t>
      </w:r>
      <w:bookmarkEnd w:id="0"/>
    </w:p>
    <w:p w14:paraId="7003671B" w14:textId="77777777" w:rsidR="00FB42ED" w:rsidRPr="00785336" w:rsidRDefault="00FB42ED" w:rsidP="009B26E2">
      <w:pPr>
        <w:pStyle w:val="ListBullet"/>
        <w:numPr>
          <w:ilvl w:val="0"/>
          <w:numId w:val="3"/>
        </w:numPr>
        <w:spacing w:after="160" w:line="240" w:lineRule="atLeast"/>
        <w:contextualSpacing w:val="0"/>
      </w:pPr>
      <w:r w:rsidRPr="00785336">
        <w:t xml:space="preserve">Medsafe is the New Zealand Medicines and Medical Devices Safety Authority and is responsible for the regulation of therapeutic products in New Zealand through administration of the </w:t>
      </w:r>
      <w:r w:rsidRPr="000107A1">
        <w:t>Medicines Act 1981</w:t>
      </w:r>
      <w:r w:rsidRPr="00785336">
        <w:t>.</w:t>
      </w:r>
    </w:p>
    <w:p w14:paraId="4D9758BD" w14:textId="77777777" w:rsidR="00FB42ED" w:rsidRPr="00785336" w:rsidRDefault="00FB42ED" w:rsidP="009B26E2">
      <w:pPr>
        <w:pStyle w:val="ListBullet"/>
        <w:numPr>
          <w:ilvl w:val="0"/>
          <w:numId w:val="3"/>
        </w:numPr>
        <w:spacing w:after="160" w:line="240" w:lineRule="atLeast"/>
        <w:contextualSpacing w:val="0"/>
      </w:pPr>
      <w:r w:rsidRPr="00785336">
        <w:t>Medsafe is a business unit of the New Zealand Ministry of Health.</w:t>
      </w:r>
    </w:p>
    <w:p w14:paraId="42343416" w14:textId="77777777" w:rsidR="00FB42ED" w:rsidRPr="00785336" w:rsidRDefault="00FB42ED" w:rsidP="009B26E2">
      <w:pPr>
        <w:pStyle w:val="ListBullet"/>
        <w:numPr>
          <w:ilvl w:val="0"/>
          <w:numId w:val="3"/>
        </w:numPr>
        <w:spacing w:after="160" w:line="240" w:lineRule="atLeast"/>
        <w:contextualSpacing w:val="0"/>
      </w:pPr>
      <w:r w:rsidRPr="00785336">
        <w:t>Medsafe’s Mission is: ‘To enhance the health of New Zealanders by regulating medicines and medical devices to maximise safety and benefit.’</w:t>
      </w:r>
    </w:p>
    <w:p w14:paraId="67BEF945" w14:textId="77777777" w:rsidR="00FB42ED" w:rsidRPr="00785336" w:rsidRDefault="00FB42ED" w:rsidP="009B26E2">
      <w:pPr>
        <w:pStyle w:val="ListBullet"/>
        <w:numPr>
          <w:ilvl w:val="0"/>
          <w:numId w:val="3"/>
        </w:numPr>
        <w:spacing w:after="160" w:line="240" w:lineRule="atLeast"/>
        <w:contextualSpacing w:val="0"/>
      </w:pPr>
      <w:r w:rsidRPr="00785336">
        <w:t>In working to achieve the stated mission Medsafe:</w:t>
      </w:r>
    </w:p>
    <w:p w14:paraId="246DBEA2" w14:textId="77777777" w:rsidR="00FB42ED" w:rsidRPr="00785336" w:rsidRDefault="00FB42ED" w:rsidP="009B26E2">
      <w:pPr>
        <w:pStyle w:val="ListBullet2"/>
        <w:numPr>
          <w:ilvl w:val="1"/>
          <w:numId w:val="3"/>
        </w:numPr>
        <w:spacing w:before="60"/>
        <w:ind w:left="714" w:hanging="357"/>
        <w:contextualSpacing w:val="0"/>
        <w:rPr>
          <w:rFonts w:asciiTheme="minorHAnsi" w:hAnsiTheme="minorHAnsi"/>
          <w:sz w:val="22"/>
        </w:rPr>
      </w:pPr>
      <w:r w:rsidRPr="00785336">
        <w:rPr>
          <w:rFonts w:asciiTheme="minorHAnsi" w:hAnsiTheme="minorHAnsi"/>
          <w:sz w:val="22"/>
        </w:rPr>
        <w:t>applies accepted international practice to the regulation of therapeutic products</w:t>
      </w:r>
    </w:p>
    <w:p w14:paraId="21371C47" w14:textId="77777777" w:rsidR="00FB42ED" w:rsidRPr="00785336" w:rsidRDefault="00FB42ED" w:rsidP="009B26E2">
      <w:pPr>
        <w:pStyle w:val="ListBullet2"/>
        <w:numPr>
          <w:ilvl w:val="1"/>
          <w:numId w:val="3"/>
        </w:numPr>
        <w:spacing w:before="60"/>
        <w:ind w:left="714" w:hanging="357"/>
        <w:contextualSpacing w:val="0"/>
        <w:rPr>
          <w:rFonts w:asciiTheme="minorHAnsi" w:hAnsiTheme="minorHAnsi"/>
          <w:sz w:val="22"/>
        </w:rPr>
      </w:pPr>
      <w:r w:rsidRPr="00785336">
        <w:rPr>
          <w:rFonts w:asciiTheme="minorHAnsi" w:hAnsiTheme="minorHAnsi"/>
          <w:sz w:val="22"/>
        </w:rPr>
        <w:t>prepares and maintains regulatory guidelines reflecting sound science and promoting evidence based decisions</w:t>
      </w:r>
    </w:p>
    <w:p w14:paraId="5A4497F3" w14:textId="77777777" w:rsidR="00FB42ED" w:rsidRPr="00785336" w:rsidRDefault="00FB42ED" w:rsidP="009B26E2">
      <w:pPr>
        <w:pStyle w:val="ListBullet2"/>
        <w:numPr>
          <w:ilvl w:val="1"/>
          <w:numId w:val="3"/>
        </w:numPr>
        <w:spacing w:before="60"/>
        <w:ind w:left="714" w:hanging="357"/>
        <w:contextualSpacing w:val="0"/>
        <w:rPr>
          <w:rFonts w:asciiTheme="minorHAnsi" w:hAnsiTheme="minorHAnsi"/>
          <w:sz w:val="22"/>
        </w:rPr>
      </w:pPr>
      <w:r w:rsidRPr="00785336">
        <w:rPr>
          <w:rFonts w:asciiTheme="minorHAnsi" w:hAnsiTheme="minorHAnsi"/>
          <w:sz w:val="22"/>
        </w:rPr>
        <w:t>applies processes that are consistent, transparent and minimise the costs of regulatory action</w:t>
      </w:r>
    </w:p>
    <w:p w14:paraId="14861C0C" w14:textId="77777777" w:rsidR="00FB42ED" w:rsidRPr="00785336" w:rsidRDefault="00FB42ED" w:rsidP="009B26E2">
      <w:pPr>
        <w:pStyle w:val="ListBullet2"/>
        <w:numPr>
          <w:ilvl w:val="1"/>
          <w:numId w:val="3"/>
        </w:numPr>
        <w:spacing w:before="60"/>
        <w:ind w:left="714" w:hanging="357"/>
        <w:contextualSpacing w:val="0"/>
        <w:rPr>
          <w:rFonts w:asciiTheme="minorHAnsi" w:hAnsiTheme="minorHAnsi"/>
          <w:sz w:val="22"/>
        </w:rPr>
      </w:pPr>
      <w:r w:rsidRPr="00785336">
        <w:rPr>
          <w:rFonts w:asciiTheme="minorHAnsi" w:hAnsiTheme="minorHAnsi"/>
          <w:sz w:val="22"/>
        </w:rPr>
        <w:t>provides timely and unbiased information to health professionals and consumers about the safe use of therapeutic products.</w:t>
      </w:r>
    </w:p>
    <w:p w14:paraId="77EEB8DF" w14:textId="77777777" w:rsidR="00D771E1" w:rsidRDefault="00D771E1" w:rsidP="00E378C2">
      <w:pPr>
        <w:pStyle w:val="Heading1"/>
      </w:pPr>
      <w:bookmarkStart w:id="3" w:name="_Toc474408877"/>
      <w:r w:rsidRPr="00574269">
        <w:t>Background</w:t>
      </w:r>
      <w:bookmarkEnd w:id="3"/>
    </w:p>
    <w:p w14:paraId="1C372BEA" w14:textId="6A991410" w:rsidR="00D771E1" w:rsidRDefault="006820BE" w:rsidP="006820BE">
      <w:r w:rsidRPr="006820BE">
        <w:rPr>
          <w:lang w:val="en-GB"/>
        </w:rPr>
        <w:t>The Medicines Adverse Reactions Committee</w:t>
      </w:r>
      <w:r w:rsidR="00FD447E">
        <w:rPr>
          <w:lang w:val="en-GB"/>
        </w:rPr>
        <w:t xml:space="preserve"> (MARC)</w:t>
      </w:r>
      <w:r w:rsidRPr="006820BE">
        <w:rPr>
          <w:lang w:val="en-GB"/>
        </w:rPr>
        <w:t xml:space="preserve"> at their 167</w:t>
      </w:r>
      <w:r w:rsidRPr="006820BE">
        <w:rPr>
          <w:vertAlign w:val="superscript"/>
          <w:lang w:val="en-GB"/>
        </w:rPr>
        <w:t>th</w:t>
      </w:r>
      <w:r w:rsidRPr="006820BE">
        <w:rPr>
          <w:lang w:val="en-GB"/>
        </w:rPr>
        <w:t xml:space="preserve"> meeting recommended that Medsafe updates the Label Statements Database</w:t>
      </w:r>
      <w:r w:rsidR="004F0786">
        <w:rPr>
          <w:lang w:val="en-GB"/>
        </w:rPr>
        <w:t xml:space="preserve"> </w:t>
      </w:r>
      <w:r w:rsidRPr="006820BE">
        <w:rPr>
          <w:lang w:val="en-GB"/>
        </w:rPr>
        <w:t xml:space="preserve">to include a compulsory warning </w:t>
      </w:r>
      <w:r w:rsidR="003100FE">
        <w:rPr>
          <w:lang w:val="en-GB"/>
        </w:rPr>
        <w:t xml:space="preserve">statement for all miconazole-containing products available without prescription, </w:t>
      </w:r>
      <w:r w:rsidRPr="006820BE">
        <w:rPr>
          <w:lang w:val="en-GB"/>
        </w:rPr>
        <w:t>regarding an interaction with warfarin</w:t>
      </w:r>
      <w:r w:rsidR="00D771E1">
        <w:t>.</w:t>
      </w:r>
    </w:p>
    <w:p w14:paraId="0B9C6EE0" w14:textId="7B71729F" w:rsidR="00FD447E" w:rsidRDefault="00E378C2" w:rsidP="006820BE">
      <w:r>
        <w:t xml:space="preserve">Topical miconazole containing medicines are available without a prescription. </w:t>
      </w:r>
      <w:r w:rsidR="00FD447E">
        <w:t>The classification of miconazole</w:t>
      </w:r>
      <w:r w:rsidR="003100FE">
        <w:t>-</w:t>
      </w:r>
      <w:r w:rsidR="00FD447E">
        <w:t>containing medicines is outlined in Table 1.</w:t>
      </w:r>
    </w:p>
    <w:p w14:paraId="0B564A11" w14:textId="17A0D349" w:rsidR="00E378C2" w:rsidRDefault="00E378C2" w:rsidP="006820BE">
      <w:r>
        <w:t>The Label Statements Database lists the warning and advisory statements that are required on medicine and related product labels under regulations 12(1)(i) and 14(1)(f) of the Medicines Regulations 1984 for medicines.</w:t>
      </w:r>
    </w:p>
    <w:p w14:paraId="0864149E" w14:textId="77777777" w:rsidR="00101DB0" w:rsidRDefault="00101DB0" w:rsidP="00101DB0">
      <w:pPr>
        <w:pStyle w:val="Caption"/>
        <w:spacing w:after="0"/>
      </w:pPr>
      <w:r>
        <w:t xml:space="preserve">Table </w:t>
      </w:r>
      <w:r w:rsidR="00206404">
        <w:fldChar w:fldCharType="begin"/>
      </w:r>
      <w:r w:rsidR="00206404">
        <w:instrText xml:space="preserve"> SEQ Table \* ARABIC </w:instrText>
      </w:r>
      <w:r w:rsidR="00206404">
        <w:fldChar w:fldCharType="separate"/>
      </w:r>
      <w:r>
        <w:rPr>
          <w:noProof/>
        </w:rPr>
        <w:t>1</w:t>
      </w:r>
      <w:r w:rsidR="00206404">
        <w:rPr>
          <w:noProof/>
        </w:rPr>
        <w:fldChar w:fldCharType="end"/>
      </w:r>
      <w:r>
        <w:t>: Classification of miconazole containing medicines</w:t>
      </w:r>
    </w:p>
    <w:p w14:paraId="0277ABD9" w14:textId="606E846A" w:rsidR="00101DB0" w:rsidRDefault="00B668E6" w:rsidP="006820BE">
      <w:r>
        <w:rPr>
          <w:noProof/>
          <w:lang w:eastAsia="en-NZ"/>
        </w:rPr>
        <w:drawing>
          <wp:inline distT="0" distB="0" distL="0" distR="0" wp14:anchorId="699F7D52" wp14:editId="1283AC1D">
            <wp:extent cx="5731510" cy="12700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270000"/>
                    </a:xfrm>
                    <a:prstGeom prst="rect">
                      <a:avLst/>
                    </a:prstGeom>
                  </pic:spPr>
                </pic:pic>
              </a:graphicData>
            </a:graphic>
          </wp:inline>
        </w:drawing>
      </w:r>
    </w:p>
    <w:p w14:paraId="44084B05" w14:textId="2E953220" w:rsidR="004F0786" w:rsidRDefault="00FD447E" w:rsidP="006820BE">
      <w:r>
        <w:t xml:space="preserve">The Label Statements Database is the mechanism through which consumers are informed of </w:t>
      </w:r>
      <w:r w:rsidR="00E73DF8">
        <w:t>the warnings and precautions that are necessary for the</w:t>
      </w:r>
      <w:r w:rsidR="003100FE">
        <w:t xml:space="preserve"> safe use of medicines </w:t>
      </w:r>
      <w:r w:rsidR="00E73DF8">
        <w:t>available without prescription.  Consumers can also be informed of the necessary warnings and precautions in medicine data sheets and consumer medicine information (CMI).  However, in New Zealand, CMI are voluntary for all medicines and data sheets are voluntary for pharmacy only and general sales medicines</w:t>
      </w:r>
      <w:r>
        <w:t xml:space="preserve">. </w:t>
      </w:r>
      <w:r w:rsidR="003100FE">
        <w:t xml:space="preserve"> </w:t>
      </w:r>
    </w:p>
    <w:p w14:paraId="0D32D896" w14:textId="77777777" w:rsidR="00574269" w:rsidRPr="005A395E" w:rsidRDefault="00574269" w:rsidP="00E378C2">
      <w:pPr>
        <w:pStyle w:val="Heading1"/>
      </w:pPr>
      <w:bookmarkStart w:id="4" w:name="_Toc474408878"/>
      <w:r>
        <w:lastRenderedPageBreak/>
        <w:t>Introduction</w:t>
      </w:r>
      <w:bookmarkEnd w:id="1"/>
      <w:bookmarkEnd w:id="4"/>
    </w:p>
    <w:p w14:paraId="72ABADD5" w14:textId="77777777" w:rsidR="006820BE" w:rsidRDefault="006820BE" w:rsidP="006820BE">
      <w:r w:rsidRPr="006820BE">
        <w:t xml:space="preserve">The potential for drug interactions between </w:t>
      </w:r>
      <w:r>
        <w:t xml:space="preserve">oral </w:t>
      </w:r>
      <w:r w:rsidRPr="006820BE">
        <w:t>miconazole a</w:t>
      </w:r>
      <w:r>
        <w:t>nd warfarin is well established</w:t>
      </w:r>
      <w:r w:rsidRPr="006820BE">
        <w:t>. The mechanism is understood to be inhibition by miconazole of one of the main cytochrome P450 isozymes involved in warfarin metabolism</w:t>
      </w:r>
      <w:r>
        <w:t>:</w:t>
      </w:r>
      <w:r w:rsidR="00CC7F45">
        <w:t xml:space="preserve"> </w:t>
      </w:r>
      <w:r w:rsidRPr="006820BE">
        <w:t>CYP2C9, resulting in reduced warfarin clearance and an enhanced anticoagulant effect.</w:t>
      </w:r>
    </w:p>
    <w:p w14:paraId="3F38BF30" w14:textId="77777777" w:rsidR="00FD447E" w:rsidRDefault="006820BE" w:rsidP="006820BE">
      <w:r>
        <w:t>Topical miconazole containing medicines include</w:t>
      </w:r>
      <w:r w:rsidR="00FD447E">
        <w:t>:</w:t>
      </w:r>
    </w:p>
    <w:p w14:paraId="7F0B632F" w14:textId="33943B91" w:rsidR="00FD447E" w:rsidRDefault="00FD447E" w:rsidP="009B26E2">
      <w:pPr>
        <w:pStyle w:val="ListParagraph"/>
        <w:numPr>
          <w:ilvl w:val="0"/>
          <w:numId w:val="6"/>
        </w:numPr>
      </w:pPr>
      <w:r>
        <w:t xml:space="preserve">those for oral mucosal application </w:t>
      </w:r>
      <w:r w:rsidR="000107A1">
        <w:t xml:space="preserve">such as </w:t>
      </w:r>
      <w:r w:rsidR="006820BE">
        <w:t>oral gel</w:t>
      </w:r>
    </w:p>
    <w:p w14:paraId="72E8FE9A" w14:textId="77777777" w:rsidR="00FD447E" w:rsidRDefault="00FD447E" w:rsidP="009B26E2">
      <w:pPr>
        <w:pStyle w:val="ListParagraph"/>
        <w:numPr>
          <w:ilvl w:val="0"/>
          <w:numId w:val="6"/>
        </w:numPr>
      </w:pPr>
      <w:r>
        <w:t xml:space="preserve">topical </w:t>
      </w:r>
      <w:r w:rsidR="006820BE">
        <w:t xml:space="preserve">cream </w:t>
      </w:r>
    </w:p>
    <w:p w14:paraId="6F7C55F3" w14:textId="77777777" w:rsidR="00FD447E" w:rsidRDefault="00FD447E" w:rsidP="009B26E2">
      <w:pPr>
        <w:pStyle w:val="ListParagraph"/>
        <w:numPr>
          <w:ilvl w:val="0"/>
          <w:numId w:val="6"/>
        </w:numPr>
      </w:pPr>
      <w:r>
        <w:t>those for intravaginal use – cream and</w:t>
      </w:r>
      <w:r w:rsidR="006820BE">
        <w:t xml:space="preserve"> pessaries.  </w:t>
      </w:r>
    </w:p>
    <w:p w14:paraId="0FFA3CCC" w14:textId="77777777" w:rsidR="006820BE" w:rsidRDefault="006820BE" w:rsidP="00FD447E">
      <w:pPr>
        <w:ind w:left="45"/>
      </w:pPr>
      <w:r>
        <w:t>Cases of interactions occurring in patients taking warfarin and using these products have been reported around the world including New Zealand.</w:t>
      </w:r>
    </w:p>
    <w:p w14:paraId="0DFB18C8" w14:textId="77777777" w:rsidR="006820BE" w:rsidRDefault="006820BE" w:rsidP="006820BE">
      <w:r>
        <w:t>Regulatory authorities have provided warnings regarding thi</w:t>
      </w:r>
      <w:r w:rsidR="00E378C2">
        <w:t>s interaction due to the potentially life threatening effects of the increased anticoagulant effect of warfarin.</w:t>
      </w:r>
    </w:p>
    <w:p w14:paraId="74F26CBF" w14:textId="77777777" w:rsidR="00E378C2" w:rsidRDefault="00E378C2" w:rsidP="009B26E2">
      <w:pPr>
        <w:pStyle w:val="ListParagraph"/>
        <w:numPr>
          <w:ilvl w:val="0"/>
          <w:numId w:val="4"/>
        </w:numPr>
      </w:pPr>
      <w:r>
        <w:t xml:space="preserve">MHRA </w:t>
      </w:r>
      <w:r w:rsidRPr="00E378C2">
        <w:t>Drug Safety U</w:t>
      </w:r>
      <w:r>
        <w:t>pdate vol 9 issue 11, June 2016.</w:t>
      </w:r>
    </w:p>
    <w:p w14:paraId="1342CF27" w14:textId="77777777" w:rsidR="00E378C2" w:rsidRDefault="00E378C2" w:rsidP="009B26E2">
      <w:pPr>
        <w:pStyle w:val="ListParagraph"/>
        <w:numPr>
          <w:ilvl w:val="0"/>
          <w:numId w:val="4"/>
        </w:numPr>
      </w:pPr>
      <w:r w:rsidRPr="00E378C2">
        <w:t>Health Canada – Canadian Adverse Drug Reaction Newsletter 2001</w:t>
      </w:r>
      <w:r>
        <w:t>.</w:t>
      </w:r>
    </w:p>
    <w:p w14:paraId="0511D713" w14:textId="77777777" w:rsidR="00E378C2" w:rsidRDefault="00E378C2" w:rsidP="009B26E2">
      <w:pPr>
        <w:pStyle w:val="ListParagraph"/>
        <w:numPr>
          <w:ilvl w:val="0"/>
          <w:numId w:val="4"/>
        </w:numPr>
      </w:pPr>
      <w:r w:rsidRPr="00E378C2">
        <w:t>FDA safety warning 2001</w:t>
      </w:r>
      <w:r>
        <w:t>.</w:t>
      </w:r>
    </w:p>
    <w:p w14:paraId="1874A775" w14:textId="77777777" w:rsidR="00FD447E" w:rsidRDefault="00FD447E" w:rsidP="009B26E2">
      <w:pPr>
        <w:pStyle w:val="ListParagraph"/>
        <w:numPr>
          <w:ilvl w:val="0"/>
          <w:numId w:val="4"/>
        </w:numPr>
      </w:pPr>
      <w:r>
        <w:t xml:space="preserve">Medsafe in 2003, 2005 and 2013 through </w:t>
      </w:r>
      <w:r w:rsidRPr="00FD447E">
        <w:rPr>
          <w:i/>
        </w:rPr>
        <w:t>Prescriber Update</w:t>
      </w:r>
      <w:r>
        <w:t>.</w:t>
      </w:r>
    </w:p>
    <w:p w14:paraId="4E48E5C8" w14:textId="77777777" w:rsidR="00E378C2" w:rsidRPr="006820BE" w:rsidRDefault="00E378C2" w:rsidP="00E378C2">
      <w:r>
        <w:t xml:space="preserve">The purpose of this document is to provide information on this potential interaction </w:t>
      </w:r>
      <w:r w:rsidR="00FD447E">
        <w:t>and</w:t>
      </w:r>
      <w:r>
        <w:t xml:space="preserve"> Medsafe’s proposal to include warning statements in the Label Statement Database for miconazole containing medicines.</w:t>
      </w:r>
    </w:p>
    <w:bookmarkEnd w:id="2"/>
    <w:p w14:paraId="7F265148" w14:textId="77777777" w:rsidR="005A255A" w:rsidRDefault="005A255A">
      <w:pPr>
        <w:rPr>
          <w:rFonts w:asciiTheme="majorHAnsi" w:eastAsiaTheme="majorEastAsia" w:hAnsiTheme="majorHAnsi" w:cstheme="majorBidi"/>
          <w:b/>
          <w:bCs/>
          <w:color w:val="002060"/>
          <w:sz w:val="28"/>
          <w:szCs w:val="28"/>
          <w:lang w:val="en-GB"/>
        </w:rPr>
      </w:pPr>
      <w:r>
        <w:br w:type="page"/>
      </w:r>
    </w:p>
    <w:p w14:paraId="5DA3FEEC" w14:textId="30CABCA3" w:rsidR="00633541" w:rsidRDefault="00E378C2" w:rsidP="00E378C2">
      <w:pPr>
        <w:pStyle w:val="Heading1"/>
      </w:pPr>
      <w:bookmarkStart w:id="5" w:name="_Toc474408879"/>
      <w:r>
        <w:lastRenderedPageBreak/>
        <w:t>Interaction between warfarin and topical miconazole</w:t>
      </w:r>
      <w:r w:rsidR="000107A1">
        <w:t>-</w:t>
      </w:r>
      <w:r>
        <w:t>containing medicines</w:t>
      </w:r>
      <w:bookmarkEnd w:id="5"/>
    </w:p>
    <w:p w14:paraId="777798B2" w14:textId="77777777" w:rsidR="00CC7F45" w:rsidRPr="00CC7F45" w:rsidRDefault="00CC7F45" w:rsidP="00CC7F45">
      <w:pPr>
        <w:pStyle w:val="Heading2"/>
      </w:pPr>
      <w:bookmarkStart w:id="6" w:name="_Toc474408880"/>
      <w:r>
        <w:t>Case reports</w:t>
      </w:r>
      <w:bookmarkEnd w:id="6"/>
    </w:p>
    <w:p w14:paraId="4229D342" w14:textId="77777777" w:rsidR="00633541" w:rsidRDefault="00FD447E" w:rsidP="000107A1">
      <w:pPr>
        <w:spacing w:after="120"/>
        <w:rPr>
          <w:bCs/>
          <w:lang w:val="en-US"/>
        </w:rPr>
      </w:pPr>
      <w:r>
        <w:rPr>
          <w:bCs/>
        </w:rPr>
        <w:t>A selection of the more recent p</w:t>
      </w:r>
      <w:r w:rsidR="00E378C2">
        <w:rPr>
          <w:bCs/>
        </w:rPr>
        <w:t>ublished case re</w:t>
      </w:r>
      <w:r>
        <w:rPr>
          <w:bCs/>
        </w:rPr>
        <w:t xml:space="preserve">ports are outlined below.  The </w:t>
      </w:r>
      <w:r w:rsidR="00CC7F45">
        <w:rPr>
          <w:bCs/>
        </w:rPr>
        <w:t>intent</w:t>
      </w:r>
      <w:r>
        <w:rPr>
          <w:bCs/>
        </w:rPr>
        <w:t xml:space="preserve"> of highlighting these cases</w:t>
      </w:r>
      <w:r w:rsidR="00CC7F45">
        <w:rPr>
          <w:bCs/>
        </w:rPr>
        <w:t xml:space="preserve"> is to provide evidence that this interaction can occur and in what circumstances</w:t>
      </w:r>
      <w:r w:rsidR="00FA071C">
        <w:rPr>
          <w:bCs/>
          <w:lang w:val="en-US"/>
        </w:rPr>
        <w:t>.</w:t>
      </w:r>
      <w:r w:rsidR="00393A7C">
        <w:rPr>
          <w:bCs/>
          <w:lang w:val="en-US"/>
        </w:rPr>
        <w:t xml:space="preserve">  </w:t>
      </w:r>
    </w:p>
    <w:p w14:paraId="599A68B6" w14:textId="51F16DB1" w:rsidR="00CC7F45" w:rsidRPr="00CC7F45" w:rsidRDefault="00CC7F45" w:rsidP="000107A1">
      <w:pPr>
        <w:spacing w:after="120"/>
        <w:rPr>
          <w:bCs/>
          <w:i/>
          <w:u w:val="single"/>
        </w:rPr>
      </w:pPr>
      <w:r w:rsidRPr="00CC7F45">
        <w:rPr>
          <w:bCs/>
          <w:i/>
          <w:u w:val="single"/>
        </w:rPr>
        <w:t xml:space="preserve">Murakami et al </w:t>
      </w:r>
      <w:r w:rsidR="00393A7C">
        <w:rPr>
          <w:bCs/>
          <w:i/>
          <w:u w:val="single"/>
        </w:rPr>
        <w:fldChar w:fldCharType="begin"/>
      </w:r>
      <w:r w:rsidR="00393A7C">
        <w:rPr>
          <w:bCs/>
          <w:i/>
          <w:u w:val="single"/>
        </w:rPr>
        <w:instrText xml:space="preserve"> ADDIN EN.CITE &lt;EndNote&gt;&lt;Cite&gt;&lt;Author&gt;Murakami&lt;/Author&gt;&lt;Year&gt;2016&lt;/Year&gt;&lt;RecNum&gt;3&lt;/RecNum&gt;&lt;DisplayText&gt;[1]&lt;/DisplayText&gt;&lt;record&gt;&lt;rec-number&gt;3&lt;/rec-number&gt;&lt;foreign-keys&gt;&lt;key app="EN" db-id="a5w0fvrzf00z5aexes7vx9fy5dfxts2xz2vs"&gt;3&lt;/key&gt;&lt;/foreign-keys&gt;&lt;ref-type name="Journal Article"&gt;17&lt;/ref-type&gt;&lt;contributors&gt;&lt;authors&gt;&lt;author&gt;Murakami, S.&lt;/author&gt;&lt;author&gt;Tanaka, A.&lt;/author&gt;&lt;author&gt;Ido, K.&lt;/author&gt;&lt;author&gt;Tanaka, M.&lt;/author&gt;&lt;author&gt;Araki, H.&lt;/author&gt;&lt;/authors&gt;&lt;/contributors&gt;&lt;titles&gt;&lt;title&gt;Prolonged effects of miconazole oral gel on warfarin anticoagulation even after treatment withdrawal&lt;/title&gt;&lt;secondary-title&gt;Int J Clin Pharmacol Ther&lt;/secondary-title&gt;&lt;alt-title&gt;International journal of clinical pharmacology and therapeutics&lt;/alt-title&gt;&lt;/titles&gt;&lt;periodical&gt;&lt;full-title&gt;Int J Clin Pharmacol Ther&lt;/full-title&gt;&lt;abbr-1&gt;International journal of clinical pharmacology and therapeutics&lt;/abbr-1&gt;&lt;/periodical&gt;&lt;alt-periodical&gt;&lt;full-title&gt;Int J Clin Pharmacol Ther&lt;/full-title&gt;&lt;abbr-1&gt;International journal of clinical pharmacology and therapeutics&lt;/abbr-1&gt;&lt;/alt-periodical&gt;&lt;pages&gt;474-6&lt;/pages&gt;&lt;volume&gt;54&lt;/volume&gt;&lt;number&gt;6&lt;/number&gt;&lt;keywords&gt;&lt;keyword&gt;Administration, Oral&lt;/keyword&gt;&lt;keyword&gt;Aged&lt;/keyword&gt;&lt;keyword&gt;Aged, 80 and over&lt;/keyword&gt;&lt;keyword&gt;Anticoagulants/*pharmacology&lt;/keyword&gt;&lt;keyword&gt;Female&lt;/keyword&gt;&lt;keyword&gt;Gels&lt;/keyword&gt;&lt;keyword&gt;Humans&lt;/keyword&gt;&lt;keyword&gt;International Normalized Ratio&lt;/keyword&gt;&lt;keyword&gt;Male&lt;/keyword&gt;&lt;keyword&gt;Miconazole/*pharmacology&lt;/keyword&gt;&lt;keyword&gt;Middle Aged&lt;/keyword&gt;&lt;keyword&gt;Warfarin/*pharmacology&lt;/keyword&gt;&lt;/keywords&gt;&lt;dates&gt;&lt;year&gt;2016&lt;/year&gt;&lt;pub-dates&gt;&lt;date&gt;Jun&lt;/date&gt;&lt;/pub-dates&gt;&lt;/dates&gt;&lt;isbn&gt;0946-1965 (Print)&amp;#xD;0946-1965 (Linking)&lt;/isbn&gt;&lt;accession-num&gt;27117040&lt;/accession-num&gt;&lt;urls&gt;&lt;related-urls&gt;&lt;url&gt;http://www.ncbi.nlm.nih.gov/pubmed/27117040&lt;/url&gt;&lt;/related-urls&gt;&lt;/urls&gt;&lt;electronic-resource-num&gt;10.5414/CP202597&lt;/electronic-resource-num&gt;&lt;/record&gt;&lt;/Cite&gt;&lt;/EndNote&gt;</w:instrText>
      </w:r>
      <w:r w:rsidR="00393A7C">
        <w:rPr>
          <w:bCs/>
          <w:i/>
          <w:u w:val="single"/>
        </w:rPr>
        <w:fldChar w:fldCharType="separate"/>
      </w:r>
      <w:r w:rsidR="00393A7C">
        <w:rPr>
          <w:bCs/>
          <w:i/>
          <w:noProof/>
          <w:u w:val="single"/>
        </w:rPr>
        <w:t>[</w:t>
      </w:r>
      <w:hyperlink w:anchor="_ENREF_1" w:tooltip="Murakami, 2016 #3" w:history="1">
        <w:r w:rsidR="00B26DB7">
          <w:rPr>
            <w:bCs/>
            <w:i/>
            <w:noProof/>
            <w:u w:val="single"/>
          </w:rPr>
          <w:t>1</w:t>
        </w:r>
      </w:hyperlink>
      <w:r w:rsidR="00393A7C">
        <w:rPr>
          <w:bCs/>
          <w:i/>
          <w:noProof/>
          <w:u w:val="single"/>
        </w:rPr>
        <w:t>]</w:t>
      </w:r>
      <w:r w:rsidR="00393A7C">
        <w:rPr>
          <w:bCs/>
          <w:i/>
          <w:u w:val="single"/>
        </w:rPr>
        <w:fldChar w:fldCharType="end"/>
      </w:r>
    </w:p>
    <w:p w14:paraId="13AFF0E0" w14:textId="5C8FA909" w:rsidR="00CC7F45" w:rsidRPr="00CC7F45" w:rsidRDefault="00CC7F45" w:rsidP="000107A1">
      <w:pPr>
        <w:spacing w:after="120"/>
        <w:rPr>
          <w:bCs/>
        </w:rPr>
      </w:pPr>
      <w:r w:rsidRPr="00CC7F45">
        <w:rPr>
          <w:bCs/>
        </w:rPr>
        <w:t>The authors report the results of a retrospective study. All patients were taking warfarin and miconazole oral gel.</w:t>
      </w:r>
      <w:r w:rsidR="000107A1">
        <w:rPr>
          <w:bCs/>
        </w:rPr>
        <w:t xml:space="preserve">  The message of the case series was that international normalised ratios (</w:t>
      </w:r>
      <w:r w:rsidR="000107A1" w:rsidRPr="00CC7F45">
        <w:rPr>
          <w:bCs/>
        </w:rPr>
        <w:t>INR</w:t>
      </w:r>
      <w:r w:rsidR="000107A1">
        <w:rPr>
          <w:bCs/>
        </w:rPr>
        <w:t>) may remain elevated for some time after warfarin is discontinued.</w:t>
      </w:r>
    </w:p>
    <w:p w14:paraId="5FB88449" w14:textId="13737084" w:rsidR="00CC7F45" w:rsidRPr="00CC7F45" w:rsidRDefault="00CC7F45" w:rsidP="000107A1">
      <w:pPr>
        <w:spacing w:after="120"/>
        <w:rPr>
          <w:bCs/>
        </w:rPr>
      </w:pPr>
      <w:r w:rsidRPr="00CC7F45">
        <w:rPr>
          <w:bCs/>
        </w:rPr>
        <w:t xml:space="preserve">86/M. </w:t>
      </w:r>
      <w:r w:rsidR="000107A1">
        <w:rPr>
          <w:bCs/>
        </w:rPr>
        <w:t>INR</w:t>
      </w:r>
      <w:r w:rsidRPr="00CC7F45">
        <w:rPr>
          <w:bCs/>
        </w:rPr>
        <w:t xml:space="preserve"> increased from 1.07 to 4.47 and remained high for 13 days until miconazole discontinued.  INR remained at 3.84 for the next 35 days.</w:t>
      </w:r>
    </w:p>
    <w:p w14:paraId="44B7C63A" w14:textId="77777777" w:rsidR="00CC7F45" w:rsidRPr="00CC7F45" w:rsidRDefault="00CC7F45" w:rsidP="000107A1">
      <w:pPr>
        <w:spacing w:after="120"/>
        <w:rPr>
          <w:bCs/>
        </w:rPr>
      </w:pPr>
      <w:r w:rsidRPr="00CC7F45">
        <w:rPr>
          <w:bCs/>
        </w:rPr>
        <w:t>63/M.  INR decreased from 1.6 to 1.09 and remained for 2 days.  Miconazole was stopped and INR increased to 2.33 and remained high for 12 days.</w:t>
      </w:r>
    </w:p>
    <w:p w14:paraId="593C7383" w14:textId="77777777" w:rsidR="00CC7F45" w:rsidRPr="00CC7F45" w:rsidRDefault="00CC7F45" w:rsidP="000107A1">
      <w:pPr>
        <w:spacing w:after="120"/>
        <w:rPr>
          <w:bCs/>
        </w:rPr>
      </w:pPr>
      <w:r w:rsidRPr="00CC7F45">
        <w:rPr>
          <w:bCs/>
        </w:rPr>
        <w:t>65/M.  INR increased from 2.55 to 4.55 and remained high for 5 days. Miconazole was stopped and INR remained at 3.8 for 20 days.</w:t>
      </w:r>
    </w:p>
    <w:p w14:paraId="7F285DA0" w14:textId="5B83FE55" w:rsidR="00CC7F45" w:rsidRPr="00CC7F45" w:rsidRDefault="00CC7F45" w:rsidP="000107A1">
      <w:pPr>
        <w:spacing w:after="120"/>
        <w:rPr>
          <w:bCs/>
        </w:rPr>
      </w:pPr>
      <w:r w:rsidRPr="00CC7F45">
        <w:rPr>
          <w:bCs/>
        </w:rPr>
        <w:t>85/F. INR incr</w:t>
      </w:r>
      <w:r w:rsidR="000107A1">
        <w:rPr>
          <w:bCs/>
        </w:rPr>
        <w:t>eased from 1.62 to 1.65 for 5</w:t>
      </w:r>
      <w:r w:rsidRPr="00CC7F45">
        <w:rPr>
          <w:bCs/>
        </w:rPr>
        <w:t xml:space="preserve"> days.  Miconazole was stopped and warfarin decreased but INR remained at 2.48 for next 6 days.</w:t>
      </w:r>
    </w:p>
    <w:p w14:paraId="4A9CB8B0" w14:textId="77777777" w:rsidR="00CC7F45" w:rsidRPr="00CC7F45" w:rsidRDefault="00CC7F45" w:rsidP="000107A1">
      <w:pPr>
        <w:spacing w:after="120"/>
        <w:rPr>
          <w:bCs/>
        </w:rPr>
      </w:pPr>
      <w:r w:rsidRPr="00CC7F45">
        <w:rPr>
          <w:bCs/>
        </w:rPr>
        <w:t>85/M.  INR increased from 1.56 to 3.16 for 8 days.  Miconazole was stopped and warfarin decreased, INR remained at 4.32 for 13 days.</w:t>
      </w:r>
    </w:p>
    <w:p w14:paraId="796611A0" w14:textId="77777777" w:rsidR="00CC7F45" w:rsidRPr="00CC7F45" w:rsidRDefault="00CC7F45" w:rsidP="000107A1">
      <w:pPr>
        <w:spacing w:after="120"/>
        <w:rPr>
          <w:bCs/>
        </w:rPr>
      </w:pPr>
      <w:r w:rsidRPr="00CC7F45">
        <w:rPr>
          <w:bCs/>
        </w:rPr>
        <w:t>74/F. INR increased from 1.75 to 8.07 for 7 days.  Miconazole was discontinued and warfarin decreased.  INR remained at 4.96 for the next 6 days.</w:t>
      </w:r>
    </w:p>
    <w:p w14:paraId="5BBF1139" w14:textId="3DF53F41" w:rsidR="00CC7F45" w:rsidRPr="00CC7F45" w:rsidRDefault="00CC7F45" w:rsidP="000107A1">
      <w:pPr>
        <w:spacing w:after="120"/>
        <w:rPr>
          <w:bCs/>
          <w:i/>
          <w:u w:val="single"/>
        </w:rPr>
      </w:pPr>
      <w:r w:rsidRPr="00CC7F45">
        <w:rPr>
          <w:bCs/>
          <w:i/>
          <w:u w:val="single"/>
        </w:rPr>
        <w:t xml:space="preserve">Hook et al </w:t>
      </w:r>
      <w:r w:rsidRPr="00CC7F45">
        <w:rPr>
          <w:bCs/>
          <w:i/>
          <w:u w:val="single"/>
        </w:rPr>
        <w:fldChar w:fldCharType="begin"/>
      </w:r>
      <w:r w:rsidRPr="00CC7F45">
        <w:rPr>
          <w:bCs/>
          <w:i/>
          <w:u w:val="single"/>
        </w:rPr>
        <w:instrText xml:space="preserve"> ADDIN EN.CITE &lt;EndNote&gt;&lt;Cite&gt;&lt;Author&gt;Hook&lt;/Author&gt;&lt;Year&gt;2016&lt;/Year&gt;&lt;RecNum&gt;11&lt;/RecNum&gt;&lt;DisplayText&gt;[2]&lt;/DisplayText&gt;&lt;record&gt;&lt;rec-number&gt;11&lt;/rec-number&gt;&lt;foreign-keys&gt;&lt;key app="EN" db-id="a5w0fvrzf00z5aexes7vx9fy5dfxts2xz2vs"&gt;11&lt;/key&gt;&lt;/foreign-keys&gt;&lt;ref-type name="Journal Article"&gt;17&lt;/ref-type&gt;&lt;contributors&gt;&lt;authors&gt;&lt;author&gt;Hook, J.&lt;/author&gt;&lt;author&gt;Millsopp, L.&lt;/author&gt;&lt;author&gt;Field, E. A.&lt;/author&gt;&lt;/authors&gt;&lt;/contributors&gt;&lt;titles&gt;&lt;title&gt;Warfarin and Drug Interactions: Prescribing Vigilance&lt;/title&gt;&lt;secondary-title&gt;Dent Update&lt;/secondary-title&gt;&lt;alt-title&gt;Dental update&lt;/alt-title&gt;&lt;/titles&gt;&lt;periodical&gt;&lt;full-title&gt;Dent Update&lt;/full-title&gt;&lt;abbr-1&gt;Dental update&lt;/abbr-1&gt;&lt;/periodical&gt;&lt;alt-periodical&gt;&lt;full-title&gt;Dent Update&lt;/full-title&gt;&lt;abbr-1&gt;Dental update&lt;/abbr-1&gt;&lt;/alt-periodical&gt;&lt;pages&gt;34-6&lt;/pages&gt;&lt;volume&gt;43&lt;/volume&gt;&lt;number&gt;1&lt;/number&gt;&lt;keywords&gt;&lt;keyword&gt;Aged&lt;/keyword&gt;&lt;keyword&gt;Anti-Infective Agents/*adverse effects&lt;/keyword&gt;&lt;keyword&gt;Anticoagulants/*adverse effects&lt;/keyword&gt;&lt;keyword&gt;Antifungal Agents/*adverse effects&lt;/keyword&gt;&lt;keyword&gt;Contusions/etiology&lt;/keyword&gt;&lt;keyword&gt;Drug Synergism&lt;/keyword&gt;&lt;keyword&gt;Gingivitis/drug therapy&lt;/keyword&gt;&lt;keyword&gt;Humans&lt;/keyword&gt;&lt;keyword&gt;International Normalized Ratio&lt;/keyword&gt;&lt;keyword&gt;Lichen Planus, Oral/drug therapy&lt;/keyword&gt;&lt;keyword&gt;Male&lt;/keyword&gt;&lt;keyword&gt;Metronidazole/*adverse effects&lt;/keyword&gt;&lt;keyword&gt;Miconazole/*adverse effects&lt;/keyword&gt;&lt;keyword&gt;Warfarin/*adverse effects&lt;/keyword&gt;&lt;/keywords&gt;&lt;dates&gt;&lt;year&gt;2016&lt;/year&gt;&lt;pub-dates&gt;&lt;date&gt;Jan-Feb&lt;/date&gt;&lt;/pub-dates&gt;&lt;/dates&gt;&lt;isbn&gt;0305-5000 (Print)&amp;#xD;0305-5000 (Linking)&lt;/isbn&gt;&lt;accession-num&gt;27024900&lt;/accession-num&gt;&lt;urls&gt;&lt;related-urls&gt;&lt;url&gt;http://www.ncbi.nlm.nih.gov/pubmed/27024900&lt;/url&gt;&lt;/related-urls&gt;&lt;/urls&gt;&lt;/record&gt;&lt;/Cite&gt;&lt;/EndNote&gt;</w:instrText>
      </w:r>
      <w:r w:rsidRPr="00CC7F45">
        <w:rPr>
          <w:bCs/>
          <w:i/>
          <w:u w:val="single"/>
        </w:rPr>
        <w:fldChar w:fldCharType="separate"/>
      </w:r>
      <w:r w:rsidRPr="00CC7F45">
        <w:rPr>
          <w:bCs/>
          <w:i/>
          <w:u w:val="single"/>
        </w:rPr>
        <w:t>[</w:t>
      </w:r>
      <w:hyperlink w:anchor="_ENREF_2" w:tooltip="Hook, 2016 #11" w:history="1">
        <w:r w:rsidR="00B26DB7" w:rsidRPr="00393A7C">
          <w:rPr>
            <w:bCs/>
            <w:i/>
          </w:rPr>
          <w:t>2</w:t>
        </w:r>
      </w:hyperlink>
      <w:r w:rsidRPr="00CC7F45">
        <w:rPr>
          <w:bCs/>
          <w:i/>
          <w:u w:val="single"/>
        </w:rPr>
        <w:t>]</w:t>
      </w:r>
      <w:r w:rsidRPr="00CC7F45">
        <w:rPr>
          <w:bCs/>
        </w:rPr>
        <w:fldChar w:fldCharType="end"/>
      </w:r>
    </w:p>
    <w:p w14:paraId="4C049957" w14:textId="77777777" w:rsidR="00CC7F45" w:rsidRPr="00CC7F45" w:rsidRDefault="00CC7F45" w:rsidP="000107A1">
      <w:pPr>
        <w:spacing w:after="120"/>
        <w:rPr>
          <w:bCs/>
        </w:rPr>
      </w:pPr>
      <w:r w:rsidRPr="00CC7F45">
        <w:rPr>
          <w:bCs/>
        </w:rPr>
        <w:t>68/M treated with warfarin, miconazole (route not stated but indication was oral lichen planus) and metronidazole developed a large bruise on his right torso.  He stopped taking warfarin after reading the patient information leaflet.  Urgent INR was reported as 5.9.</w:t>
      </w:r>
    </w:p>
    <w:p w14:paraId="677B6C14" w14:textId="42F8CE0E" w:rsidR="00CC7F45" w:rsidRPr="00CC7F45" w:rsidRDefault="00CC7F45" w:rsidP="000107A1">
      <w:pPr>
        <w:spacing w:after="120"/>
        <w:rPr>
          <w:bCs/>
          <w:u w:val="single"/>
        </w:rPr>
      </w:pPr>
      <w:r w:rsidRPr="00CC7F45">
        <w:rPr>
          <w:bCs/>
          <w:u w:val="single"/>
        </w:rPr>
        <w:t xml:space="preserve">De Pauw et al </w:t>
      </w:r>
      <w:r w:rsidRPr="00CC7F45">
        <w:rPr>
          <w:bCs/>
          <w:u w:val="single"/>
        </w:rPr>
        <w:fldChar w:fldCharType="begin"/>
      </w:r>
      <w:r w:rsidRPr="00CC7F45">
        <w:rPr>
          <w:bCs/>
          <w:u w:val="single"/>
        </w:rPr>
        <w:instrText xml:space="preserve"> ADDIN EN.CITE &lt;EndNote&gt;&lt;Cite&gt;&lt;Author&gt;De Pauw&lt;/Author&gt;&lt;Year&gt;2015&lt;/Year&gt;&lt;RecNum&gt;10&lt;/RecNum&gt;&lt;DisplayText&gt;[3]&lt;/DisplayText&gt;&lt;record&gt;&lt;rec-number&gt;10&lt;/rec-number&gt;&lt;foreign-keys&gt;&lt;key app="EN" db-id="a5w0fvrzf00z5aexes7vx9fy5dfxts2xz2vs"&gt;10&lt;/key&gt;&lt;/foreign-keys&gt;&lt;ref-type name="Journal Article"&gt;17&lt;/ref-type&gt;&lt;contributors&gt;&lt;authors&gt;&lt;author&gt;De Pauw, A.&lt;/author&gt;&lt;author&gt;De Backer, T.&lt;/author&gt;&lt;/authors&gt;&lt;/contributors&gt;&lt;titles&gt;&lt;title&gt;Miconazole buccal gel and risk for systemic bleeding: how certain topical formula can interfere with anticoagulants&lt;/title&gt;&lt;secondary-title&gt;Acta Clin Belg&lt;/secondary-title&gt;&lt;alt-title&gt;Acta clinica Belgica&lt;/alt-title&gt;&lt;/titles&gt;&lt;periodical&gt;&lt;full-title&gt;Acta Clin Belg&lt;/full-title&gt;&lt;abbr-1&gt;Acta clinica Belgica&lt;/abbr-1&gt;&lt;/periodical&gt;&lt;alt-periodical&gt;&lt;full-title&gt;Acta Clin Belg&lt;/full-title&gt;&lt;abbr-1&gt;Acta clinica Belgica&lt;/abbr-1&gt;&lt;/alt-periodical&gt;&lt;pages&gt;121-3&lt;/pages&gt;&lt;volume&gt;70&lt;/volume&gt;&lt;number&gt;2&lt;/number&gt;&lt;keywords&gt;&lt;keyword&gt;Administration, Oral&lt;/keyword&gt;&lt;keyword&gt;Administration, Topical&lt;/keyword&gt;&lt;keyword&gt;Aged&lt;/keyword&gt;&lt;keyword&gt;Aged, 80 and over&lt;/keyword&gt;&lt;keyword&gt;Anticoagulants/*administration &amp;amp; dosage/adverse effects&lt;/keyword&gt;&lt;keyword&gt;Antifungal Agents/*administration &amp;amp; dosage/adverse effects&lt;/keyword&gt;&lt;keyword&gt;Drug Interactions&lt;/keyword&gt;&lt;keyword&gt;Female&lt;/keyword&gt;&lt;keyword&gt;Hemorrhage/chemically induced&lt;/keyword&gt;&lt;keyword&gt;Humans&lt;/keyword&gt;&lt;keyword&gt;International Normalized Ratio&lt;/keyword&gt;&lt;keyword&gt;Miconazole/*administration &amp;amp; dosage/adverse effects&lt;/keyword&gt;&lt;keyword&gt;Middle Aged&lt;/keyword&gt;&lt;keyword&gt;Warfarin/administration &amp;amp; dosage&lt;/keyword&gt;&lt;/keywords&gt;&lt;dates&gt;&lt;year&gt;2015&lt;/year&gt;&lt;pub-dates&gt;&lt;date&gt;Apr&lt;/date&gt;&lt;/pub-dates&gt;&lt;/dates&gt;&lt;isbn&gt;1784-3286 (Print)&amp;#xD;1784-3286 (Linking)&lt;/isbn&gt;&lt;accession-num&gt;25331621&lt;/accession-num&gt;&lt;urls&gt;&lt;related-urls&gt;&lt;url&gt;http://www.ncbi.nlm.nih.gov/pubmed/25331621&lt;/url&gt;&lt;/related-urls&gt;&lt;/urls&gt;&lt;electronic-resource-num&gt;10.1179/2295333714Y.0000000089&lt;/electronic-resource-num&gt;&lt;/record&gt;&lt;/Cite&gt;&lt;/EndNote&gt;</w:instrText>
      </w:r>
      <w:r w:rsidRPr="00CC7F45">
        <w:rPr>
          <w:bCs/>
          <w:u w:val="single"/>
        </w:rPr>
        <w:fldChar w:fldCharType="separate"/>
      </w:r>
      <w:r w:rsidRPr="00CC7F45">
        <w:rPr>
          <w:bCs/>
          <w:u w:val="single"/>
        </w:rPr>
        <w:t>[</w:t>
      </w:r>
      <w:hyperlink w:anchor="_ENREF_3" w:tooltip="De Pauw, 2015 #10" w:history="1">
        <w:r w:rsidR="00B26DB7" w:rsidRPr="00393A7C">
          <w:rPr>
            <w:bCs/>
          </w:rPr>
          <w:t>3</w:t>
        </w:r>
      </w:hyperlink>
      <w:r w:rsidRPr="00CC7F45">
        <w:rPr>
          <w:bCs/>
          <w:u w:val="single"/>
        </w:rPr>
        <w:t>]</w:t>
      </w:r>
      <w:r w:rsidRPr="00CC7F45">
        <w:rPr>
          <w:bCs/>
        </w:rPr>
        <w:fldChar w:fldCharType="end"/>
      </w:r>
    </w:p>
    <w:p w14:paraId="04EE346E" w14:textId="77777777" w:rsidR="00CC7F45" w:rsidRPr="00CC7F45" w:rsidRDefault="00CC7F45" w:rsidP="000107A1">
      <w:pPr>
        <w:spacing w:after="120"/>
        <w:rPr>
          <w:bCs/>
        </w:rPr>
      </w:pPr>
      <w:r w:rsidRPr="00CC7F45">
        <w:rPr>
          <w:bCs/>
        </w:rPr>
        <w:t>49/F on warfarin started using miconazole oral gel.  She presented with an INR of 12.7.</w:t>
      </w:r>
    </w:p>
    <w:p w14:paraId="415E086C" w14:textId="77777777" w:rsidR="00CC7F45" w:rsidRPr="00CC7F45" w:rsidRDefault="00CC7F45" w:rsidP="000107A1">
      <w:pPr>
        <w:spacing w:after="120"/>
        <w:rPr>
          <w:bCs/>
        </w:rPr>
      </w:pPr>
      <w:r w:rsidRPr="00CC7F45">
        <w:rPr>
          <w:bCs/>
        </w:rPr>
        <w:t>89/F on warfarin presented with spontaneous bleeding of the gums and lips, ecchymoses on both arms, haematuria and rectal bleeding.  INR was 17.  She had been using miconazole oral gel for a week.</w:t>
      </w:r>
    </w:p>
    <w:p w14:paraId="4F75F45F" w14:textId="71C0F119" w:rsidR="00CC7F45" w:rsidRPr="00CC7F45" w:rsidRDefault="00CC7F45" w:rsidP="000107A1">
      <w:pPr>
        <w:spacing w:after="120"/>
        <w:rPr>
          <w:bCs/>
        </w:rPr>
      </w:pPr>
      <w:r w:rsidRPr="00CC7F45">
        <w:rPr>
          <w:bCs/>
        </w:rPr>
        <w:t>70/F on warfarin, one week after starting miconazole oral gel experienced epistaxis and haematuria.  INR was 18.6</w:t>
      </w:r>
      <w:r w:rsidR="000107A1">
        <w:rPr>
          <w:bCs/>
        </w:rPr>
        <w:t>.</w:t>
      </w:r>
    </w:p>
    <w:p w14:paraId="7B2CB1E1" w14:textId="77777777" w:rsidR="00CC7F45" w:rsidRPr="00CC7F45" w:rsidRDefault="00CC7F45" w:rsidP="000107A1">
      <w:pPr>
        <w:spacing w:after="120"/>
        <w:rPr>
          <w:bCs/>
        </w:rPr>
      </w:pPr>
      <w:r w:rsidRPr="00CC7F45">
        <w:rPr>
          <w:bCs/>
        </w:rPr>
        <w:t>74/F taking warfarin started having variable INR values up to 6.  It was discovered she had been using miconazole oral gel.  INR stabilised after stopping miconazole.</w:t>
      </w:r>
    </w:p>
    <w:p w14:paraId="11EE2D58" w14:textId="77777777" w:rsidR="000107A1" w:rsidRDefault="000107A1" w:rsidP="000107A1">
      <w:pPr>
        <w:spacing w:after="120"/>
        <w:rPr>
          <w:bCs/>
          <w:i/>
          <w:u w:val="single"/>
        </w:rPr>
      </w:pPr>
    </w:p>
    <w:p w14:paraId="794E33C0" w14:textId="77777777" w:rsidR="000107A1" w:rsidRDefault="000107A1" w:rsidP="000107A1">
      <w:pPr>
        <w:spacing w:after="120"/>
        <w:rPr>
          <w:bCs/>
          <w:i/>
          <w:u w:val="single"/>
        </w:rPr>
      </w:pPr>
    </w:p>
    <w:p w14:paraId="48244216" w14:textId="77777777" w:rsidR="000107A1" w:rsidRDefault="000107A1" w:rsidP="000107A1">
      <w:pPr>
        <w:spacing w:after="120"/>
        <w:rPr>
          <w:bCs/>
          <w:i/>
          <w:u w:val="single"/>
        </w:rPr>
      </w:pPr>
    </w:p>
    <w:p w14:paraId="7CB10EFA" w14:textId="7DF2F76E" w:rsidR="00CC7F45" w:rsidRPr="00CC7F45" w:rsidRDefault="00CC7F45" w:rsidP="000107A1">
      <w:pPr>
        <w:spacing w:after="120"/>
        <w:rPr>
          <w:bCs/>
          <w:i/>
          <w:u w:val="single"/>
        </w:rPr>
      </w:pPr>
      <w:r w:rsidRPr="00CC7F45">
        <w:rPr>
          <w:bCs/>
          <w:i/>
          <w:u w:val="single"/>
        </w:rPr>
        <w:lastRenderedPageBreak/>
        <w:t xml:space="preserve">Ufondu et al </w:t>
      </w:r>
      <w:r w:rsidRPr="00CC7F45">
        <w:rPr>
          <w:bCs/>
          <w:i/>
          <w:u w:val="single"/>
        </w:rPr>
        <w:fldChar w:fldCharType="begin"/>
      </w:r>
      <w:r w:rsidRPr="00CC7F45">
        <w:rPr>
          <w:bCs/>
          <w:i/>
          <w:u w:val="single"/>
        </w:rPr>
        <w:instrText xml:space="preserve"> ADDIN EN.CITE &lt;EndNote&gt;&lt;Cite&gt;&lt;Author&gt;Ufondu&lt;/Author&gt;&lt;Year&gt;2013&lt;/Year&gt;&lt;RecNum&gt;1&lt;/RecNum&gt;&lt;DisplayText&gt;[4]&lt;/DisplayText&gt;&lt;record&gt;&lt;rec-number&gt;1&lt;/rec-number&gt;&lt;foreign-keys&gt;&lt;key app="EN" db-id="a5w0fvrzf00z5aexes7vx9fy5dfxts2xz2vs"&gt;1&lt;/key&gt;&lt;/foreign-keys&gt;&lt;ref-type name="Journal Article"&gt;17&lt;/ref-type&gt;&lt;contributors&gt;&lt;authors&gt;&lt;author&gt;Ufondu, C. C.&lt;/author&gt;&lt;author&gt;Ferrins, P.&lt;/author&gt;&lt;author&gt;Cushen, A.&lt;/author&gt;&lt;author&gt;Quinn, J.&lt;/author&gt;&lt;/authors&gt;&lt;/contributors&gt;&lt;titles&gt;&lt;title&gt;Warfarin and topical miconazole: the potential for a clinically significant interaction&lt;/title&gt;&lt;secondary-title&gt;Ir J Med Sci&lt;/secondary-title&gt;&lt;alt-title&gt;Irish journal of medical science&lt;/alt-title&gt;&lt;/titles&gt;&lt;periodical&gt;&lt;full-title&gt;Ir J Med Sci&lt;/full-title&gt;&lt;abbr-1&gt;Irish journal of medical science&lt;/abbr-1&gt;&lt;/periodical&gt;&lt;alt-periodical&gt;&lt;full-title&gt;Ir J Med Sci&lt;/full-title&gt;&lt;abbr-1&gt;Irish journal of medical science&lt;/abbr-1&gt;&lt;/alt-periodical&gt;&lt;pages&gt;153-4&lt;/pages&gt;&lt;volume&gt;182&lt;/volume&gt;&lt;number&gt;1&lt;/number&gt;&lt;keywords&gt;&lt;keyword&gt;Anticoagulants/*therapeutic use&lt;/keyword&gt;&lt;keyword&gt;Female&lt;/keyword&gt;&lt;keyword&gt;*Health Knowledge, Attitudes, Practice&lt;/keyword&gt;&lt;keyword&gt;Humans&lt;/keyword&gt;&lt;keyword&gt;Male&lt;/keyword&gt;&lt;keyword&gt;Warfarin/*therapeutic use&lt;/keyword&gt;&lt;/keywords&gt;&lt;dates&gt;&lt;year&gt;2013&lt;/year&gt;&lt;pub-dates&gt;&lt;date&gt;Mar&lt;/date&gt;&lt;/pub-dates&gt;&lt;/dates&gt;&lt;isbn&gt;1863-4362 (Electronic)&amp;#xD;0021-1265 (Linking)&lt;/isbn&gt;&lt;accession-num&gt;23115023&lt;/accession-num&gt;&lt;urls&gt;&lt;related-urls&gt;&lt;url&gt;http://www.ncbi.nlm.nih.gov/pubmed/23115023&lt;/url&gt;&lt;/related-urls&gt;&lt;/urls&gt;&lt;electronic-resource-num&gt;10.1007/s11845-012-0862-1&lt;/electronic-resource-num&gt;&lt;/record&gt;&lt;/Cite&gt;&lt;/EndNote&gt;</w:instrText>
      </w:r>
      <w:r w:rsidRPr="00CC7F45">
        <w:rPr>
          <w:bCs/>
          <w:i/>
          <w:u w:val="single"/>
        </w:rPr>
        <w:fldChar w:fldCharType="separate"/>
      </w:r>
      <w:r w:rsidRPr="00CC7F45">
        <w:rPr>
          <w:bCs/>
          <w:i/>
          <w:u w:val="single"/>
        </w:rPr>
        <w:t>[</w:t>
      </w:r>
      <w:hyperlink w:anchor="_ENREF_4" w:tooltip="Ufondu, 2013 #1" w:history="1">
        <w:r w:rsidR="00B26DB7" w:rsidRPr="00393A7C">
          <w:rPr>
            <w:bCs/>
            <w:i/>
          </w:rPr>
          <w:t>4</w:t>
        </w:r>
      </w:hyperlink>
      <w:r w:rsidRPr="00CC7F45">
        <w:rPr>
          <w:bCs/>
          <w:i/>
          <w:u w:val="single"/>
        </w:rPr>
        <w:t>]</w:t>
      </w:r>
      <w:r w:rsidRPr="00CC7F45">
        <w:rPr>
          <w:bCs/>
        </w:rPr>
        <w:fldChar w:fldCharType="end"/>
      </w:r>
    </w:p>
    <w:p w14:paraId="2F9891F8" w14:textId="77777777" w:rsidR="00CC7F45" w:rsidRPr="00CC7F45" w:rsidRDefault="00CC7F45" w:rsidP="000107A1">
      <w:pPr>
        <w:spacing w:after="120"/>
        <w:rPr>
          <w:bCs/>
        </w:rPr>
      </w:pPr>
      <w:r w:rsidRPr="00CC7F45">
        <w:rPr>
          <w:bCs/>
        </w:rPr>
        <w:t>Two men and two women aged 63-78 years developed elevated INR after starting topical miconazole.  After 3-7 days of combined warfarin and miconazole INR increased from 2.0-3.3 to 6.1-16.  One patient experienced minor bleeding.</w:t>
      </w:r>
    </w:p>
    <w:p w14:paraId="0B24A865" w14:textId="27356F49" w:rsidR="00CC7F45" w:rsidRPr="00CC7F45" w:rsidRDefault="00CC7F45" w:rsidP="000107A1">
      <w:pPr>
        <w:spacing w:after="120"/>
        <w:rPr>
          <w:bCs/>
          <w:i/>
          <w:u w:val="single"/>
        </w:rPr>
      </w:pPr>
      <w:r w:rsidRPr="00CC7F45">
        <w:rPr>
          <w:bCs/>
          <w:i/>
          <w:u w:val="single"/>
        </w:rPr>
        <w:t xml:space="preserve">McAvinchey et al </w:t>
      </w:r>
      <w:r w:rsidRPr="00CC7F45">
        <w:rPr>
          <w:bCs/>
          <w:i/>
          <w:u w:val="single"/>
        </w:rPr>
        <w:fldChar w:fldCharType="begin"/>
      </w:r>
      <w:r w:rsidR="00CB070E">
        <w:rPr>
          <w:bCs/>
          <w:i/>
          <w:u w:val="single"/>
        </w:rPr>
        <w:instrText xml:space="preserve"> ADDIN EN.CITE &lt;EndNote&gt;&lt;Cite&gt;&lt;Author&gt;Mc&lt;/Author&gt;&lt;Year&gt;2012&lt;/Year&gt;&lt;RecNum&gt;9&lt;/RecNum&gt;&lt;DisplayText&gt;[5]&lt;/DisplayText&gt;&lt;record&gt;&lt;rec-number&gt;9&lt;/rec-number&gt;&lt;foreign-keys&gt;&lt;key app="EN" db-id="a5w0fvrzf00z5aexes7vx9fy5dfxts2xz2vs"&gt;9&lt;/key&gt;&lt;/foreign-keys&gt;&lt;ref-type name="Journal Article"&gt;17&lt;/ref-type&gt;&lt;contributors&gt;&lt;authors&gt;&lt;author&gt;McAvinchey, A. G.&lt;/author&gt;&lt;author&gt;Swinson, B.&lt;/author&gt;&lt;/authors&gt;&lt;/contributors&gt;&lt;auth-address&gt;Department of Maxillofacial Surgery, Altnagelvin Area Hospital, Glenshane Road, Londonderry BT47 6SB, UK.&lt;/auth-address&gt;&lt;titles&gt;&lt;title&gt;An interesting potential reaction to warfarin&lt;/title&gt;&lt;secondary-title&gt;Dent Update&lt;/secondary-title&gt;&lt;alt-title&gt;Dental update&lt;/alt-title&gt;&lt;/titles&gt;&lt;periodical&gt;&lt;full-title&gt;Dent Update&lt;/full-title&gt;&lt;abbr-1&gt;Dental update&lt;/abbr-1&gt;&lt;/periodical&gt;&lt;alt-periodical&gt;&lt;full-title&gt;Dent Update&lt;/full-title&gt;&lt;abbr-1&gt;Dental update&lt;/abbr-1&gt;&lt;/alt-periodical&gt;&lt;pages&gt;33-4, 37&lt;/pages&gt;&lt;volume&gt;39&lt;/volume&gt;&lt;number&gt;1&lt;/number&gt;&lt;keywords&gt;&lt;keyword&gt;Aged, 80 and over&lt;/keyword&gt;&lt;keyword&gt;Anticoagulants/*adverse effects&lt;/keyword&gt;&lt;keyword&gt;Candidiasis, Oral/diagnosis&lt;/keyword&gt;&lt;keyword&gt;Diagnosis, Differential&lt;/keyword&gt;&lt;keyword&gt;Erythroplasia/diagnosis&lt;/keyword&gt;&lt;keyword&gt;Humans&lt;/keyword&gt;&lt;keyword&gt;Leukoplakia, Oral/diagnosis&lt;/keyword&gt;&lt;keyword&gt;Male&lt;/keyword&gt;&lt;keyword&gt;Oral Ulcer/*chemically induced&lt;/keyword&gt;&lt;keyword&gt;Tongue Diseases/*chemically induced&lt;/keyword&gt;&lt;keyword&gt;Tongue Neoplasms/diagnosis&lt;/keyword&gt;&lt;keyword&gt;Warfarin/*adverse effects&lt;/keyword&gt;&lt;/keywords&gt;&lt;dates&gt;&lt;year&gt;2012&lt;/year&gt;&lt;pub-dates&gt;&lt;date&gt;Jan-Feb&lt;/date&gt;&lt;/pub-dates&gt;&lt;/dates&gt;&lt;isbn&gt;0305-5000 (Print)&amp;#xD;0305-5000 (Linking)&lt;/isbn&gt;&lt;accession-num&gt;22720378&lt;/accession-num&gt;&lt;urls&gt;&lt;related-urls&gt;&lt;url&gt;http://www.ncbi.nlm.nih.gov/pubmed/22720378&lt;/url&gt;&lt;/related-urls&gt;&lt;/urls&gt;&lt;/record&gt;&lt;/Cite&gt;&lt;/EndNote&gt;</w:instrText>
      </w:r>
      <w:r w:rsidRPr="00CC7F45">
        <w:rPr>
          <w:bCs/>
          <w:i/>
          <w:u w:val="single"/>
        </w:rPr>
        <w:fldChar w:fldCharType="separate"/>
      </w:r>
      <w:r w:rsidR="00CB070E">
        <w:rPr>
          <w:bCs/>
          <w:i/>
          <w:noProof/>
          <w:u w:val="single"/>
        </w:rPr>
        <w:t>[</w:t>
      </w:r>
      <w:hyperlink w:anchor="_ENREF_5" w:tooltip="McAvinchey, 2012 #9" w:history="1">
        <w:r w:rsidR="00B26DB7">
          <w:rPr>
            <w:bCs/>
            <w:i/>
            <w:noProof/>
            <w:u w:val="single"/>
          </w:rPr>
          <w:t>5</w:t>
        </w:r>
      </w:hyperlink>
      <w:r w:rsidR="00CB070E">
        <w:rPr>
          <w:bCs/>
          <w:i/>
          <w:noProof/>
          <w:u w:val="single"/>
        </w:rPr>
        <w:t>]</w:t>
      </w:r>
      <w:r w:rsidRPr="00CC7F45">
        <w:rPr>
          <w:bCs/>
        </w:rPr>
        <w:fldChar w:fldCharType="end"/>
      </w:r>
    </w:p>
    <w:p w14:paraId="185CE13E" w14:textId="77777777" w:rsidR="00CC7F45" w:rsidRPr="00CC7F45" w:rsidRDefault="00CC7F45" w:rsidP="000107A1">
      <w:pPr>
        <w:spacing w:after="120"/>
        <w:rPr>
          <w:bCs/>
        </w:rPr>
      </w:pPr>
      <w:r w:rsidRPr="00CC7F45">
        <w:rPr>
          <w:bCs/>
        </w:rPr>
        <w:t>86/M took miconazole gel for ulcerated tongue while also taking warfarin.  INR increased to&gt;10. Warfarin was stopped and replaced with clopidogrel and aspirin.  INR reduced and the tongue lesions resolved.</w:t>
      </w:r>
    </w:p>
    <w:p w14:paraId="3E39C3FE" w14:textId="708A09E8" w:rsidR="00CC7F45" w:rsidRPr="00CC7F45" w:rsidRDefault="00CC7F45" w:rsidP="000107A1">
      <w:pPr>
        <w:spacing w:after="120"/>
        <w:rPr>
          <w:bCs/>
          <w:i/>
          <w:u w:val="single"/>
        </w:rPr>
      </w:pPr>
      <w:r w:rsidRPr="00CC7F45">
        <w:rPr>
          <w:bCs/>
          <w:i/>
          <w:u w:val="single"/>
        </w:rPr>
        <w:t xml:space="preserve">Thomas et al </w:t>
      </w:r>
      <w:r w:rsidRPr="00CC7F45">
        <w:rPr>
          <w:bCs/>
          <w:i/>
          <w:u w:val="single"/>
        </w:rPr>
        <w:fldChar w:fldCharType="begin">
          <w:fldData xml:space="preserve">PEVuZE5vdGU+PENpdGU+PEF1dGhvcj5UaG9tYXM8L0F1dGhvcj48WWVhcj4yMDEwPC9ZZWFyPjxS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</w:fldData>
        </w:fldChar>
      </w:r>
      <w:r w:rsidRPr="00CC7F45">
        <w:rPr>
          <w:bCs/>
          <w:i/>
          <w:u w:val="single"/>
        </w:rPr>
        <w:instrText xml:space="preserve"> ADDIN EN.CITE </w:instrText>
      </w:r>
      <w:r w:rsidRPr="00CC7F45">
        <w:rPr>
          <w:bCs/>
          <w:i/>
          <w:u w:val="single"/>
        </w:rPr>
        <w:fldChar w:fldCharType="begin">
          <w:fldData xml:space="preserve">PEVuZE5vdGU+PENpdGU+PEF1dGhvcj5UaG9tYXM8L0F1dGhvcj48WWVhcj4yMDEwPC9ZZWFyPjxS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</w:fldData>
        </w:fldChar>
      </w:r>
      <w:r w:rsidRPr="00CC7F45">
        <w:rPr>
          <w:bCs/>
          <w:i/>
          <w:u w:val="single"/>
        </w:rPr>
        <w:instrText xml:space="preserve"> ADDIN EN.CITE.DATA </w:instrText>
      </w:r>
      <w:r w:rsidRPr="00CC7F45">
        <w:rPr>
          <w:bCs/>
        </w:rPr>
      </w:r>
      <w:r w:rsidRPr="00CC7F45">
        <w:rPr>
          <w:bCs/>
        </w:rPr>
        <w:fldChar w:fldCharType="end"/>
      </w:r>
      <w:r w:rsidRPr="00CC7F45">
        <w:rPr>
          <w:bCs/>
          <w:i/>
          <w:u w:val="single"/>
        </w:rPr>
      </w:r>
      <w:r w:rsidRPr="00CC7F45">
        <w:rPr>
          <w:bCs/>
          <w:i/>
          <w:u w:val="single"/>
        </w:rPr>
        <w:fldChar w:fldCharType="separate"/>
      </w:r>
      <w:r w:rsidRPr="00CC7F45">
        <w:rPr>
          <w:bCs/>
          <w:i/>
          <w:u w:val="single"/>
        </w:rPr>
        <w:t>[</w:t>
      </w:r>
      <w:hyperlink w:anchor="_ENREF_6" w:tooltip="Thomas, 2010 #4" w:history="1">
        <w:r w:rsidR="00B26DB7" w:rsidRPr="00393A7C">
          <w:rPr>
            <w:bCs/>
            <w:i/>
          </w:rPr>
          <w:t>6</w:t>
        </w:r>
      </w:hyperlink>
      <w:r w:rsidRPr="00CC7F45">
        <w:rPr>
          <w:bCs/>
          <w:i/>
          <w:u w:val="single"/>
        </w:rPr>
        <w:t>]</w:t>
      </w:r>
      <w:r w:rsidRPr="00CC7F45">
        <w:rPr>
          <w:bCs/>
        </w:rPr>
        <w:fldChar w:fldCharType="end"/>
      </w:r>
    </w:p>
    <w:p w14:paraId="4920B127" w14:textId="32083137" w:rsidR="00CC7F45" w:rsidRPr="00CC7F45" w:rsidRDefault="00CC7F45" w:rsidP="000107A1">
      <w:pPr>
        <w:spacing w:after="120"/>
        <w:rPr>
          <w:bCs/>
        </w:rPr>
      </w:pPr>
      <w:r w:rsidRPr="00CC7F45">
        <w:rPr>
          <w:bCs/>
        </w:rPr>
        <w:t>50/F taking warfarin for prevention of DVT. Two days after routine check with INR 2 she started using miconazole vaginal cream.  At next visit INR was 4.4 and she had used 1,000</w:t>
      </w:r>
      <w:r w:rsidR="000107A1">
        <w:rPr>
          <w:bCs/>
        </w:rPr>
        <w:t xml:space="preserve"> </w:t>
      </w:r>
      <w:r w:rsidRPr="00CC7F45">
        <w:rPr>
          <w:bCs/>
        </w:rPr>
        <w:t>mg miconazole in 5 consecutive doses.  Miconazole was discontinued and following week INR was 2.3.</w:t>
      </w:r>
    </w:p>
    <w:p w14:paraId="063902C2" w14:textId="7FB65296" w:rsidR="00CC7F45" w:rsidRPr="00CC7F45" w:rsidRDefault="00CC7F45" w:rsidP="000107A1">
      <w:pPr>
        <w:spacing w:after="120"/>
        <w:rPr>
          <w:bCs/>
          <w:i/>
          <w:u w:val="single"/>
        </w:rPr>
      </w:pPr>
      <w:r w:rsidRPr="00CC7F45">
        <w:rPr>
          <w:bCs/>
          <w:i/>
          <w:u w:val="single"/>
        </w:rPr>
        <w:t xml:space="preserve">Morgan et al </w:t>
      </w:r>
      <w:r w:rsidR="00CB070E">
        <w:rPr>
          <w:bCs/>
          <w:i/>
          <w:u w:val="single"/>
        </w:rPr>
        <w:fldChar w:fldCharType="begin"/>
      </w:r>
      <w:r w:rsidR="00CB070E">
        <w:rPr>
          <w:bCs/>
          <w:i/>
          <w:u w:val="single"/>
        </w:rPr>
        <w:instrText xml:space="preserve"> ADDIN EN.CITE &lt;EndNote&gt;&lt;Cite&gt;&lt;Author&gt;L&lt;/Author&gt;&lt;Year&gt;2003&lt;/Year&gt;&lt;RecNum&gt;13&lt;/RecNum&gt;&lt;DisplayText&gt;[7]&lt;/DisplayText&gt;&lt;record&gt;&lt;rec-number&gt;13&lt;/rec-number&gt;&lt;foreign-keys&gt;&lt;key app="EN" db-id="a5w0fvrzf00z5aexes7vx9fy5dfxts2xz2vs"&gt;13&lt;/key&gt;&lt;/foreign-keys&gt;&lt;ref-type name="Journal Article"&gt;17&lt;/ref-type&gt;&lt;contributors&gt;&lt;authors&gt;&lt;author&gt;Morgan, L&lt;/author&gt;&lt;/authors&gt;&lt;/contributors&gt;&lt;titles&gt;&lt;title&gt;Topical drug with systemic risk&lt;/title&gt;&lt;secondary-title&gt;Australian Prescriber&lt;/secondary-title&gt;&lt;/titles&gt;&lt;periodical&gt;&lt;full-title&gt;Australian Prescriber&lt;/full-title&gt;&lt;/periodical&gt;&lt;pages&gt;35&lt;/pages&gt;&lt;volume&gt;26&lt;/volume&gt;&lt;number&gt;2&lt;/number&gt;&lt;dates&gt;&lt;year&gt;2003&lt;/year&gt;&lt;/dates&gt;&lt;urls&gt;&lt;/urls&gt;&lt;/record&gt;&lt;/Cite&gt;&lt;/EndNote&gt;</w:instrText>
      </w:r>
      <w:r w:rsidR="00CB070E">
        <w:rPr>
          <w:bCs/>
          <w:i/>
          <w:u w:val="single"/>
        </w:rPr>
        <w:fldChar w:fldCharType="separate"/>
      </w:r>
      <w:r w:rsidR="00CB070E">
        <w:rPr>
          <w:bCs/>
          <w:i/>
          <w:noProof/>
          <w:u w:val="single"/>
        </w:rPr>
        <w:t>[</w:t>
      </w:r>
      <w:hyperlink w:anchor="_ENREF_7" w:tooltip="Morgan, 2003 #13" w:history="1">
        <w:r w:rsidR="00B26DB7">
          <w:rPr>
            <w:bCs/>
            <w:i/>
            <w:noProof/>
            <w:u w:val="single"/>
          </w:rPr>
          <w:t>7</w:t>
        </w:r>
      </w:hyperlink>
      <w:r w:rsidR="00CB070E">
        <w:rPr>
          <w:bCs/>
          <w:i/>
          <w:noProof/>
          <w:u w:val="single"/>
        </w:rPr>
        <w:t>]</w:t>
      </w:r>
      <w:r w:rsidR="00CB070E">
        <w:rPr>
          <w:bCs/>
          <w:i/>
          <w:u w:val="single"/>
        </w:rPr>
        <w:fldChar w:fldCharType="end"/>
      </w:r>
    </w:p>
    <w:p w14:paraId="542B7AEE" w14:textId="77777777" w:rsidR="00CC7F45" w:rsidRPr="00CC7F45" w:rsidRDefault="00CC7F45" w:rsidP="000107A1">
      <w:pPr>
        <w:spacing w:after="120"/>
        <w:rPr>
          <w:bCs/>
        </w:rPr>
      </w:pPr>
      <w:r w:rsidRPr="00CC7F45">
        <w:rPr>
          <w:bCs/>
        </w:rPr>
        <w:t>75/F stable on warfarin (INR 2.3-2.5) was prescribed miconazole oral gel by her dentist. 18 days later INR had increased to 14.1 and she had large bruises on arms and legs.  After 4 days off warfarin INR was 6.2.</w:t>
      </w:r>
    </w:p>
    <w:p w14:paraId="2317EDFB" w14:textId="7787BA1E" w:rsidR="00CC7F45" w:rsidRPr="00CC7F45" w:rsidRDefault="00CC7F45" w:rsidP="000107A1">
      <w:pPr>
        <w:spacing w:after="120"/>
        <w:rPr>
          <w:bCs/>
          <w:i/>
          <w:u w:val="single"/>
        </w:rPr>
      </w:pPr>
      <w:r w:rsidRPr="00CC7F45">
        <w:rPr>
          <w:bCs/>
          <w:i/>
          <w:u w:val="single"/>
        </w:rPr>
        <w:t xml:space="preserve">Devaraj et al </w:t>
      </w:r>
      <w:r w:rsidRPr="00CC7F45">
        <w:rPr>
          <w:bCs/>
          <w:i/>
          <w:u w:val="single"/>
        </w:rPr>
        <w:fldChar w:fldCharType="begin"/>
      </w:r>
      <w:r w:rsidR="00CB070E">
        <w:rPr>
          <w:bCs/>
          <w:i/>
          <w:u w:val="single"/>
        </w:rPr>
        <w:instrText xml:space="preserve"> ADDIN EN.CITE &lt;EndNote&gt;&lt;Cite&gt;&lt;Author&gt;Devaraj&lt;/Author&gt;&lt;Year&gt;2002&lt;/Year&gt;&lt;RecNum&gt;5&lt;/RecNum&gt;&lt;DisplayText&gt;[8]&lt;/DisplayText&gt;&lt;record&gt;&lt;rec-number&gt;5&lt;/rec-number&gt;&lt;foreign-keys&gt;&lt;key app="EN" db-id="a5w0fvrzf00z5aexes7vx9fy5dfxts2xz2vs"&gt;5&lt;/key&gt;&lt;/foreign-keys&gt;&lt;ref-type name="Journal Article"&gt;17&lt;/ref-type&gt;&lt;contributors&gt;&lt;authors&gt;&lt;author&gt;Devaraj, A.&lt;/author&gt;&lt;author&gt;O&amp;apos;Beirne, J. P.&lt;/author&gt;&lt;author&gt;Veasey, R.&lt;/author&gt;&lt;author&gt;Dunk, A. A.&lt;/author&gt;&lt;/authors&gt;&lt;/contributors&gt;&lt;auth-address&gt;Eastbourne District General Hospital, Eastbourne BN21 2UD.&lt;/auth-address&gt;&lt;titles&gt;&lt;title&gt;Interaction between warfarin and topical miconazole cream&lt;/title&gt;&lt;secondary-title&gt;BMJ&lt;/secondary-title&gt;&lt;alt-title&gt;Bmj&lt;/alt-title&gt;&lt;/titles&gt;&lt;periodical&gt;&lt;full-title&gt;BMJ&lt;/full-title&gt;&lt;abbr-1&gt;Bmj&lt;/abbr-1&gt;&lt;/periodical&gt;&lt;alt-periodical&gt;&lt;full-title&gt;BMJ&lt;/full-title&gt;&lt;abbr-1&gt;Bmj&lt;/abbr-1&gt;&lt;/alt-periodical&gt;&lt;pages&gt;77&lt;/pages&gt;&lt;volume&gt;325&lt;/volume&gt;&lt;number&gt;7355&lt;/number&gt;&lt;keywords&gt;&lt;keyword&gt;Aged&lt;/keyword&gt;&lt;keyword&gt;Aged, 80 and over&lt;/keyword&gt;&lt;keyword&gt;Anticoagulants/*therapeutic use&lt;/keyword&gt;&lt;keyword&gt;Antifungal Agents/*contraindications&lt;/keyword&gt;&lt;keyword&gt;Atrial Fibrillation/drug therapy&lt;/keyword&gt;&lt;keyword&gt;Blood Coagulation/*drug effects&lt;/keyword&gt;&lt;keyword&gt;Drug Interactions&lt;/keyword&gt;&lt;keyword&gt;Humans&lt;/keyword&gt;&lt;keyword&gt;International Normalized Ratio&lt;/keyword&gt;&lt;keyword&gt;Male&lt;/keyword&gt;&lt;keyword&gt;Miconazole/*contraindications&lt;/keyword&gt;&lt;keyword&gt;Warfarin/*therapeutic use&lt;/keyword&gt;&lt;/keywords&gt;&lt;dates&gt;&lt;year&gt;2002&lt;/year&gt;&lt;pub-dates&gt;&lt;date&gt;Jul 13&lt;/date&gt;&lt;/pub-dates&gt;&lt;/dates&gt;&lt;isbn&gt;1756-1833 (Electronic)&amp;#xD;0959-535X (Linking)&lt;/isbn&gt;&lt;accession-num&gt;12114237&lt;/accession-num&gt;&lt;urls&gt;&lt;related-urls&gt;&lt;url&gt;http://www.ncbi.nlm.nih.gov/pubmed/12114237&lt;/url&gt;&lt;/related-urls&gt;&lt;/urls&gt;&lt;custom2&gt;117127&lt;/custom2&gt;&lt;/record&gt;&lt;/Cite&gt;&lt;/EndNote&gt;</w:instrText>
      </w:r>
      <w:r w:rsidRPr="00CC7F45">
        <w:rPr>
          <w:bCs/>
          <w:i/>
          <w:u w:val="single"/>
        </w:rPr>
        <w:fldChar w:fldCharType="separate"/>
      </w:r>
      <w:r w:rsidR="00CB070E">
        <w:rPr>
          <w:bCs/>
          <w:i/>
          <w:noProof/>
          <w:u w:val="single"/>
        </w:rPr>
        <w:t>[</w:t>
      </w:r>
      <w:hyperlink w:anchor="_ENREF_8" w:tooltip="Devaraj, 2002 #5" w:history="1">
        <w:r w:rsidR="00B26DB7">
          <w:rPr>
            <w:bCs/>
            <w:i/>
            <w:noProof/>
            <w:u w:val="single"/>
          </w:rPr>
          <w:t>8</w:t>
        </w:r>
      </w:hyperlink>
      <w:r w:rsidR="00CB070E">
        <w:rPr>
          <w:bCs/>
          <w:i/>
          <w:noProof/>
          <w:u w:val="single"/>
        </w:rPr>
        <w:t>]</w:t>
      </w:r>
      <w:r w:rsidRPr="00CC7F45">
        <w:rPr>
          <w:bCs/>
        </w:rPr>
        <w:fldChar w:fldCharType="end"/>
      </w:r>
    </w:p>
    <w:p w14:paraId="681170C7" w14:textId="239056B2" w:rsidR="00CC7F45" w:rsidRPr="00CC7F45" w:rsidRDefault="00CC7F45" w:rsidP="000107A1">
      <w:pPr>
        <w:spacing w:after="120"/>
        <w:rPr>
          <w:bCs/>
        </w:rPr>
      </w:pPr>
      <w:r w:rsidRPr="00CC7F45">
        <w:rPr>
          <w:bCs/>
        </w:rPr>
        <w:t>80</w:t>
      </w:r>
      <w:r w:rsidR="00393A7C">
        <w:rPr>
          <w:bCs/>
        </w:rPr>
        <w:t>/M</w:t>
      </w:r>
      <w:r w:rsidRPr="00CC7F45">
        <w:rPr>
          <w:bCs/>
        </w:rPr>
        <w:t xml:space="preserve"> had been taking warfarin long term for atrial fibrillation, and his mean dose over the preceding 12 months was 6 mg daily. This dose had kept his </w:t>
      </w:r>
      <w:r w:rsidR="000107A1">
        <w:rPr>
          <w:bCs/>
        </w:rPr>
        <w:t>INR</w:t>
      </w:r>
      <w:r w:rsidRPr="00CC7F45">
        <w:rPr>
          <w:bCs/>
        </w:rPr>
        <w:t xml:space="preserve"> between 2.2 and 3.1, but at a routine appointment it was found to be 21.4, although there had been no evidence of bruising or bleeding. He denied any change to his normal warfarin dose and had continued with his other usual once daily drugs (atenolol 50 mg, isosorbide mononitrate 20 mg, and diltiazem 400 mg). However, he had been applying topical miconazole cream for a fungal infection over the right groin area during the previous two weeks. He was admitted to hospital, where his warfarin and miconazole were withdrawn and he was given fresh frozen plasma. His </w:t>
      </w:r>
      <w:r w:rsidR="000107A1">
        <w:rPr>
          <w:bCs/>
        </w:rPr>
        <w:t>INR</w:t>
      </w:r>
      <w:r w:rsidRPr="00CC7F45">
        <w:rPr>
          <w:bCs/>
        </w:rPr>
        <w:t xml:space="preserve"> returned to 3.2 and his warfarin was reinstated five days later at a daily dose of 6 mg. Since he was discharged he has remained on warfarin 6 mg and his </w:t>
      </w:r>
      <w:r w:rsidR="000107A1">
        <w:rPr>
          <w:bCs/>
        </w:rPr>
        <w:t>INR</w:t>
      </w:r>
      <w:r w:rsidRPr="00CC7F45">
        <w:rPr>
          <w:bCs/>
        </w:rPr>
        <w:t xml:space="preserve"> has been stable.</w:t>
      </w:r>
    </w:p>
    <w:p w14:paraId="00205DC9" w14:textId="7AC3E721" w:rsidR="00CC7F45" w:rsidRPr="00CC7F45" w:rsidRDefault="00CC7F45" w:rsidP="000107A1">
      <w:pPr>
        <w:spacing w:after="120"/>
        <w:rPr>
          <w:bCs/>
          <w:i/>
          <w:u w:val="single"/>
        </w:rPr>
      </w:pPr>
      <w:r w:rsidRPr="00CC7F45">
        <w:rPr>
          <w:bCs/>
          <w:i/>
          <w:u w:val="single"/>
        </w:rPr>
        <w:t xml:space="preserve">Thirion et al </w:t>
      </w:r>
      <w:r w:rsidRPr="00CC7F45">
        <w:rPr>
          <w:bCs/>
          <w:i/>
          <w:u w:val="single"/>
        </w:rPr>
        <w:fldChar w:fldCharType="begin"/>
      </w:r>
      <w:r w:rsidR="00CB070E">
        <w:rPr>
          <w:bCs/>
          <w:i/>
          <w:u w:val="single"/>
        </w:rPr>
        <w:instrText xml:space="preserve"> ADDIN EN.CITE &lt;EndNote&gt;&lt;Cite&gt;&lt;Author&gt;Thirion&lt;/Author&gt;&lt;Year&gt;2000&lt;/Year&gt;&lt;RecNum&gt;6&lt;/RecNum&gt;&lt;DisplayText&gt;[9]&lt;/DisplayText&gt;&lt;record&gt;&lt;rec-number&gt;6&lt;/rec-number&gt;&lt;foreign-keys&gt;&lt;key app="EN" db-id="a5w0fvrzf00z5aexes7vx9fy5dfxts2xz2vs"&gt;6&lt;/key&gt;&lt;/foreign-keys&gt;&lt;ref-type name="Journal Article"&gt;17&lt;/ref-type&gt;&lt;contributors&gt;&lt;authors&gt;&lt;author&gt;Thirion, D. J.&lt;/author&gt;&lt;author&gt;Zanetti, L. A.&lt;/author&gt;&lt;/authors&gt;&lt;/contributors&gt;&lt;auth-address&gt;Henry Ford Health System Anticoagulation Clinic, Sterling Heights, Michigan 48310, USA.&lt;/auth-address&gt;&lt;titles&gt;&lt;title&gt;Potentiation of warfarin&amp;apos;s hypoprothrombinemic effect with miconazole vaginal suppositories&lt;/title&gt;&lt;secondary-title&gt;Pharmacotherapy&lt;/secondary-title&gt;&lt;alt-title&gt;Pharmacotherapy&lt;/alt-title&gt;&lt;/titles&gt;&lt;periodical&gt;&lt;full-title&gt;Pharmacotherapy&lt;/full-title&gt;&lt;abbr-1&gt;Pharmacotherapy&lt;/abbr-1&gt;&lt;/periodical&gt;&lt;alt-periodical&gt;&lt;full-title&gt;Pharmacotherapy&lt;/full-title&gt;&lt;abbr-1&gt;Pharmacotherapy&lt;/abbr-1&gt;&lt;/alt-periodical&gt;&lt;pages&gt;98-9&lt;/pages&gt;&lt;volume&gt;20&lt;/volume&gt;&lt;number&gt;1&lt;/number&gt;&lt;keywords&gt;&lt;keyword&gt;Administration, Intravaginal&lt;/keyword&gt;&lt;keyword&gt;Anticoagulants/*adverse effects&lt;/keyword&gt;&lt;keyword&gt;Antifungal Agents/administration &amp;amp; dosage/*adverse effects&lt;/keyword&gt;&lt;keyword&gt;Drug Synergism&lt;/keyword&gt;&lt;keyword&gt;Ecchymosis/chemically induced&lt;/keyword&gt;&lt;keyword&gt;Female&lt;/keyword&gt;&lt;keyword&gt;Humans&lt;/keyword&gt;&lt;keyword&gt;Miconazole/administration &amp;amp; dosage/*adverse effects&lt;/keyword&gt;&lt;keyword&gt;Middle Aged&lt;/keyword&gt;&lt;keyword&gt;Partial Thromboplastin Time&lt;/keyword&gt;&lt;keyword&gt;Suppositories&lt;/keyword&gt;&lt;keyword&gt;Vaginitis/*drug therapy&lt;/keyword&gt;&lt;keyword&gt;Warfarin/*adverse effects&lt;/keyword&gt;&lt;/keywords&gt;&lt;dates&gt;&lt;year&gt;2000&lt;/year&gt;&lt;pub-dates&gt;&lt;date&gt;Jan&lt;/date&gt;&lt;/pub-dates&gt;&lt;/dates&gt;&lt;isbn&gt;0277-0008 (Print)&amp;#xD;0277-0008 (Linking)&lt;/isbn&gt;&lt;accession-num&gt;10641982&lt;/accession-num&gt;&lt;urls&gt;&lt;related-urls&gt;&lt;url&gt;http://www.ncbi.nlm.nih.gov/pubmed/10641982&lt;/url&gt;&lt;/related-urls&gt;&lt;/urls&gt;&lt;/record&gt;&lt;/Cite&gt;&lt;/EndNote&gt;</w:instrText>
      </w:r>
      <w:r w:rsidRPr="00CC7F45">
        <w:rPr>
          <w:bCs/>
          <w:i/>
          <w:u w:val="single"/>
        </w:rPr>
        <w:fldChar w:fldCharType="separate"/>
      </w:r>
      <w:r w:rsidR="00CB070E">
        <w:rPr>
          <w:bCs/>
          <w:i/>
          <w:noProof/>
          <w:u w:val="single"/>
        </w:rPr>
        <w:t>[</w:t>
      </w:r>
      <w:hyperlink w:anchor="_ENREF_9" w:tooltip="Thirion, 2000 #6" w:history="1">
        <w:r w:rsidR="00B26DB7">
          <w:rPr>
            <w:bCs/>
            <w:i/>
            <w:noProof/>
            <w:u w:val="single"/>
          </w:rPr>
          <w:t>9</w:t>
        </w:r>
      </w:hyperlink>
      <w:r w:rsidR="00CB070E">
        <w:rPr>
          <w:bCs/>
          <w:i/>
          <w:noProof/>
          <w:u w:val="single"/>
        </w:rPr>
        <w:t>]</w:t>
      </w:r>
      <w:r w:rsidRPr="00CC7F45">
        <w:rPr>
          <w:bCs/>
        </w:rPr>
        <w:fldChar w:fldCharType="end"/>
      </w:r>
    </w:p>
    <w:p w14:paraId="74BA932D" w14:textId="77777777" w:rsidR="00CC7F45" w:rsidRPr="00CC7F45" w:rsidRDefault="00CC7F45" w:rsidP="000107A1">
      <w:pPr>
        <w:spacing w:after="120"/>
        <w:rPr>
          <w:bCs/>
        </w:rPr>
      </w:pPr>
      <w:r w:rsidRPr="00CC7F45">
        <w:rPr>
          <w:bCs/>
        </w:rPr>
        <w:t>53/F treated with warfarin developed ecchymosis after she started intravaginal miconazole.  INR had been stable at 1.77-4.65 for 18 months.  On third day of miconazole INR was 9.77.  Warfarin was stopped for 2 days and then resumed.  She required a further 7 day treatment with miconazole, her warfarin dose was decreased by 28% and 6 days later INR was 3.27.  One year later she required another course of miconazole, warfarin dose was decreased by 19%, five days later INR was 7.13.</w:t>
      </w:r>
    </w:p>
    <w:p w14:paraId="34AD172B" w14:textId="2CAB8C7C" w:rsidR="00CC7F45" w:rsidRPr="00CC7F45" w:rsidRDefault="00CC7F45" w:rsidP="000107A1">
      <w:pPr>
        <w:spacing w:after="120"/>
        <w:rPr>
          <w:bCs/>
          <w:i/>
          <w:u w:val="single"/>
        </w:rPr>
      </w:pPr>
      <w:r w:rsidRPr="00CC7F45">
        <w:rPr>
          <w:bCs/>
          <w:i/>
          <w:u w:val="single"/>
        </w:rPr>
        <w:t xml:space="preserve">Shenfield et al </w:t>
      </w:r>
      <w:r w:rsidRPr="00CC7F45">
        <w:rPr>
          <w:bCs/>
          <w:i/>
          <w:u w:val="single"/>
        </w:rPr>
        <w:fldChar w:fldCharType="begin"/>
      </w:r>
      <w:r w:rsidR="00CB070E">
        <w:rPr>
          <w:bCs/>
          <w:i/>
          <w:u w:val="single"/>
        </w:rPr>
        <w:instrText xml:space="preserve"> ADDIN EN.CITE &lt;EndNote&gt;&lt;Cite&gt;&lt;Author&gt;Shenfield&lt;/Author&gt;&lt;Year&gt;1991&lt;/Year&gt;&lt;RecNum&gt;7&lt;/RecNum&gt;&lt;DisplayText&gt;[10]&lt;/DisplayText&gt;&lt;record&gt;&lt;rec-number&gt;7&lt;/rec-number&gt;&lt;foreign-keys&gt;&lt;key app="EN" db-id="a5w0fvrzf00z5aexes7vx9fy5dfxts2xz2vs"&gt;7&lt;/key&gt;&lt;/foreign-keys&gt;&lt;ref-type name="Journal Article"&gt;17&lt;/ref-type&gt;&lt;contributors&gt;&lt;authors&gt;&lt;author&gt;Shenfield, G. M.&lt;/author&gt;&lt;author&gt;Page, M.&lt;/author&gt;&lt;/authors&gt;&lt;/contributors&gt;&lt;titles&gt;&lt;title&gt;Potentiation of warfarin action by miconazole oral gel&lt;/title&gt;&lt;secondary-title&gt;Aust N Z J Med&lt;/secondary-title&gt;&lt;alt-title&gt;Australian and New Zealand journal of medicine&lt;/alt-title&gt;&lt;/titles&gt;&lt;periodical&gt;&lt;full-title&gt;Aust N Z J Med&lt;/full-title&gt;&lt;abbr-1&gt;Australian and New Zealand journal of medicine&lt;/abbr-1&gt;&lt;/periodical&gt;&lt;alt-periodical&gt;&lt;full-title&gt;Aust N Z J Med&lt;/full-title&gt;&lt;abbr-1&gt;Australian and New Zealand journal of medicine&lt;/abbr-1&gt;&lt;/alt-periodical&gt;&lt;pages&gt;928&lt;/pages&gt;&lt;volume&gt;21&lt;/volume&gt;&lt;number&gt;6&lt;/number&gt;&lt;keywords&gt;&lt;keyword&gt;Adult&lt;/keyword&gt;&lt;keyword&gt;Drug Synergism&lt;/keyword&gt;&lt;keyword&gt;Female&lt;/keyword&gt;&lt;keyword&gt;Gels&lt;/keyword&gt;&lt;keyword&gt;Humans&lt;/keyword&gt;&lt;keyword&gt;*Miconazole/administration &amp;amp; dosage&lt;/keyword&gt;&lt;keyword&gt;Warfarin/*antagonists &amp;amp; inhibitors&lt;/keyword&gt;&lt;/keywords&gt;&lt;dates&gt;&lt;year&gt;1991&lt;/year&gt;&lt;pub-dates&gt;&lt;date&gt;Dec&lt;/date&gt;&lt;/pub-dates&gt;&lt;/dates&gt;&lt;isbn&gt;0004-8291 (Print)&amp;#xD;0004-8291 (Linking)&lt;/isbn&gt;&lt;accession-num&gt;1818557&lt;/accession-num&gt;&lt;urls&gt;&lt;related-urls&gt;&lt;url&gt;http://www.ncbi.nlm.nih.gov/pubmed/1818557&lt;/url&gt;&lt;/related-urls&gt;&lt;/urls&gt;&lt;/record&gt;&lt;/Cite&gt;&lt;/EndNote&gt;</w:instrText>
      </w:r>
      <w:r w:rsidRPr="00CC7F45">
        <w:rPr>
          <w:bCs/>
          <w:i/>
          <w:u w:val="single"/>
        </w:rPr>
        <w:fldChar w:fldCharType="separate"/>
      </w:r>
      <w:r w:rsidR="00CB070E">
        <w:rPr>
          <w:bCs/>
          <w:i/>
          <w:noProof/>
          <w:u w:val="single"/>
        </w:rPr>
        <w:t>[</w:t>
      </w:r>
      <w:hyperlink w:anchor="_ENREF_10" w:tooltip="Shenfield, 1991 #7" w:history="1">
        <w:r w:rsidR="00B26DB7">
          <w:rPr>
            <w:bCs/>
            <w:i/>
            <w:noProof/>
            <w:u w:val="single"/>
          </w:rPr>
          <w:t>10</w:t>
        </w:r>
      </w:hyperlink>
      <w:r w:rsidR="00CB070E">
        <w:rPr>
          <w:bCs/>
          <w:i/>
          <w:noProof/>
          <w:u w:val="single"/>
        </w:rPr>
        <w:t>]</w:t>
      </w:r>
      <w:r w:rsidRPr="00CC7F45">
        <w:rPr>
          <w:bCs/>
        </w:rPr>
        <w:fldChar w:fldCharType="end"/>
      </w:r>
    </w:p>
    <w:p w14:paraId="6F5E8B2F" w14:textId="77777777" w:rsidR="00CC7F45" w:rsidRPr="00CC7F45" w:rsidRDefault="00CC7F45" w:rsidP="000107A1">
      <w:pPr>
        <w:spacing w:after="120"/>
        <w:rPr>
          <w:bCs/>
        </w:rPr>
      </w:pPr>
      <w:r w:rsidRPr="00CC7F45">
        <w:rPr>
          <w:bCs/>
        </w:rPr>
        <w:t>43/F taking warfarin for 7 years due to recurrent DVT was prescribed miconazole oral gel for oral thrush. 10 days after starting she noticed a bruise and stopped miconazole.  Central back pain and haematuria occurred over the next three days.  She stopped warfarin and presented with marked haematuria, INR was elevated.</w:t>
      </w:r>
    </w:p>
    <w:p w14:paraId="190E7D9E" w14:textId="77777777" w:rsidR="00CC7F45" w:rsidRDefault="00CC7F45" w:rsidP="00CC7F45">
      <w:pPr>
        <w:pStyle w:val="Heading2"/>
      </w:pPr>
      <w:bookmarkStart w:id="7" w:name="_Toc474408881"/>
      <w:r>
        <w:lastRenderedPageBreak/>
        <w:t>Clinical studies</w:t>
      </w:r>
      <w:bookmarkEnd w:id="7"/>
    </w:p>
    <w:p w14:paraId="5BF5CD78" w14:textId="3F37FE3A" w:rsidR="00CC7F45" w:rsidRPr="00CC7F45" w:rsidRDefault="00CC7F45" w:rsidP="00CC7F45">
      <w:r>
        <w:rPr>
          <w:lang w:val="en-AU"/>
        </w:rPr>
        <w:t xml:space="preserve">One study was identified. </w:t>
      </w:r>
      <w:r w:rsidRPr="00393A7C">
        <w:t xml:space="preserve">Hellfritzsch et al </w:t>
      </w:r>
      <w:r w:rsidRPr="00393A7C">
        <w:fldChar w:fldCharType="begin"/>
      </w:r>
      <w:r w:rsidR="00B26DB7">
        <w:instrText xml:space="preserve"> ADDIN EN.CITE &lt;EndNote&gt;&lt;Cite&gt;&lt;Author&gt;Hellfritzsch&lt;/Author&gt;&lt;Year&gt;2017 doi:10.1111/bcpt.12722&lt;/Year&gt;&lt;RecNum&gt;8&lt;/RecNum&gt;&lt;DisplayText&gt;[11]&lt;/DisplayText&gt;&lt;record&gt;&lt;rec-number&gt;8&lt;/rec-number&gt;&lt;foreign-keys&gt;&lt;key app="EN" db-id="a5w0fvrzf00z5aexes7vx9fy5dfxts2xz2vs"&gt;8&lt;/key&gt;&lt;/foreign-keys&gt;&lt;ref-type name="Journal Article"&gt;17&lt;/ref-type&gt;&lt;contributors&gt;&lt;authors&gt;&lt;author&gt;Hellfritzsch, M.&lt;/author&gt;&lt;author&gt;Pottegard, A.&lt;/author&gt;&lt;author&gt;Thestrup Pedersen, A. J.&lt;/author&gt;&lt;author&gt;Burghle, A.&lt;/author&gt;&lt;author&gt;Mouaanaki, F.&lt;/author&gt;&lt;author&gt;Hallas, J.&lt;/author&gt;&lt;author&gt;Grove, E. L.&lt;/author&gt;&lt;author&gt;Damkier, P.&lt;/author&gt;&lt;/authors&gt;&lt;/contributors&gt;&lt;auth-address&gt;Clinical Pharmacology and Pharmacy, Department of Public Health, University of Southern Denmark, Odense, Denmark.&amp;#xD;Department of Clinical Chemistry and Pharmacology, Odense University Hospital, Odense, Denmark.&amp;#xD;Department of Cardiology, Aarhus University Hospital, Aarhus, Denmark.&amp;#xD;Faculty of Health, Institute of Clinical Medicine, Aarhus University, Aarhus, Denmark.&amp;#xD;Department of Clinical Research, University of Southern Denmark.&lt;/auth-address&gt;&lt;titles&gt;&lt;title&gt;Topical Antimycotics for Oral Candidiasis in Warfarin Users&lt;/title&gt;&lt;secondary-title&gt;Basic Clin Pharmacol Toxicol&lt;/secondary-title&gt;&lt;alt-title&gt;Basic &amp;amp; clinical pharmacology &amp;amp; toxicology&lt;/alt-title&gt;&lt;/titles&gt;&lt;periodical&gt;&lt;full-title&gt;Basic Clin Pharmacol Toxicol&lt;/full-title&gt;&lt;abbr-1&gt;Basic &amp;amp; clinical pharmacology &amp;amp; toxicology&lt;/abbr-1&gt;&lt;/periodical&gt;&lt;alt-periodical&gt;&lt;full-title&gt;Basic Clin Pharmacol Toxicol&lt;/full-title&gt;&lt;abbr-1&gt;Basic &amp;amp; clinical pharmacology &amp;amp; toxicology&lt;/abbr-1&gt;&lt;/alt-periodical&gt;&lt;dates&gt;&lt;year&gt;2017 doi:10.1111/bcpt.12722&lt;/year&gt;&lt;pub-dates&gt;&lt;date&gt;Nov 30&lt;/date&gt;&lt;/pub-dates&gt;&lt;/dates&gt;&lt;isbn&gt;1742-7843 (Electronic)&amp;#xD;1742-7835 (Linking)&lt;/isbn&gt;&lt;accession-num&gt;27901310&lt;/accession-num&gt;&lt;urls&gt;&lt;related-urls&gt;&lt;url&gt;http://www.ncbi.nlm.nih.gov/pubmed/27901310&lt;/url&gt;&lt;/related-urls&gt;&lt;/urls&gt;&lt;electronic-resource-num&gt;10.1111/bcpt.12722&lt;/electronic-resource-num&gt;&lt;/record&gt;&lt;/Cite&gt;&lt;/EndNote&gt;</w:instrText>
      </w:r>
      <w:r w:rsidRPr="00393A7C">
        <w:fldChar w:fldCharType="separate"/>
      </w:r>
      <w:r w:rsidR="00B26DB7">
        <w:rPr>
          <w:noProof/>
        </w:rPr>
        <w:t>[</w:t>
      </w:r>
      <w:hyperlink w:anchor="_ENREF_11" w:tooltip="Hellfritzsch, 2017 doi:10.1111/bcpt.12722 #8" w:history="1">
        <w:r w:rsidR="00B26DB7">
          <w:rPr>
            <w:noProof/>
          </w:rPr>
          <w:t>11</w:t>
        </w:r>
      </w:hyperlink>
      <w:r w:rsidR="00B26DB7">
        <w:rPr>
          <w:noProof/>
        </w:rPr>
        <w:t>]</w:t>
      </w:r>
      <w:r w:rsidRPr="00393A7C">
        <w:rPr>
          <w:lang w:val="en-AU"/>
        </w:rPr>
        <w:fldChar w:fldCharType="end"/>
      </w:r>
      <w:r w:rsidRPr="00CC7F45">
        <w:t xml:space="preserve"> performed a cohort cross-over study to evaluate the potential drug-drug interaction between warfarin and miconazole oral gel.  The auth</w:t>
      </w:r>
      <w:r w:rsidR="0067460F">
        <w:t>ors used a clinical database call</w:t>
      </w:r>
      <w:r w:rsidRPr="00CC7F45">
        <w:t>ed Thrombobase which includes information on vitamin K antagonist treated patients. Between 1998 and 2012 there were around 7,400 warfarin users.  Potential interactions were assessed by comparing INR values before and after initiation of miconazole.</w:t>
      </w:r>
    </w:p>
    <w:p w14:paraId="7FD861D6" w14:textId="77777777" w:rsidR="00CC7F45" w:rsidRPr="00CC7F45" w:rsidRDefault="00CC7F45" w:rsidP="00CC7F45">
      <w:r w:rsidRPr="00CC7F45">
        <w:t>Miconazole oral gel was initiated in 53 warfarin users in the database. There were 17 warfarin users exposed to miconazole oral gel who met the study inclusion criteria.  The mean INR increased from 2.5 (95% CI: 2.1-2.8) to 3.8 (2.8-4.8); mean INR increase 1.4.</w:t>
      </w:r>
    </w:p>
    <w:p w14:paraId="2B2E4881" w14:textId="77777777" w:rsidR="00CC7F45" w:rsidRDefault="00CC7F45" w:rsidP="00CC7F45">
      <w:pPr>
        <w:pStyle w:val="Heading2"/>
      </w:pPr>
      <w:bookmarkStart w:id="8" w:name="_Toc474408882"/>
      <w:r>
        <w:t>Cases reported to the Centre for Adverse Reactions Monitoring</w:t>
      </w:r>
      <w:bookmarkEnd w:id="8"/>
    </w:p>
    <w:p w14:paraId="29A036C9" w14:textId="77777777" w:rsidR="00CC7F45" w:rsidRDefault="00CC7F45" w:rsidP="00CC7F45">
      <w:pPr>
        <w:rPr>
          <w:lang w:val="en-AU"/>
        </w:rPr>
      </w:pPr>
      <w:r>
        <w:rPr>
          <w:lang w:val="en-AU"/>
        </w:rPr>
        <w:t>The Centre for Adverse Reactions Monitoring (CARM) receive and investigate reports of suspected adverse reactions to medicines.  Cases of note are presented to the MARC for further review and recommendations for action.</w:t>
      </w:r>
    </w:p>
    <w:p w14:paraId="02628029" w14:textId="3E40273A" w:rsidR="00CC7F45" w:rsidRDefault="00CC7F45" w:rsidP="00CC7F45">
      <w:pPr>
        <w:rPr>
          <w:lang w:val="en-AU"/>
        </w:rPr>
      </w:pPr>
      <w:r>
        <w:rPr>
          <w:lang w:val="en-AU"/>
        </w:rPr>
        <w:t>A summary of reports detailing a potential interaction between warfarin and topical miconazole</w:t>
      </w:r>
      <w:r w:rsidR="000107A1">
        <w:rPr>
          <w:lang w:val="en-AU"/>
        </w:rPr>
        <w:t>-</w:t>
      </w:r>
      <w:r>
        <w:rPr>
          <w:lang w:val="en-AU"/>
        </w:rPr>
        <w:t xml:space="preserve">containing medicines is provided in Table </w:t>
      </w:r>
      <w:r w:rsidR="00101DB0">
        <w:rPr>
          <w:lang w:val="en-AU"/>
        </w:rPr>
        <w:t>2</w:t>
      </w:r>
      <w:r>
        <w:rPr>
          <w:lang w:val="en-AU"/>
        </w:rPr>
        <w:t>.</w:t>
      </w:r>
    </w:p>
    <w:p w14:paraId="17DB4EC8" w14:textId="77777777" w:rsidR="00CC7F45" w:rsidRDefault="00CC7F45" w:rsidP="00CC7F45">
      <w:pPr>
        <w:pStyle w:val="Caption"/>
        <w:spacing w:after="0"/>
        <w:rPr>
          <w:lang w:val="en-AU"/>
        </w:rPr>
      </w:pPr>
      <w:r>
        <w:t xml:space="preserve">Table </w:t>
      </w:r>
      <w:r w:rsidR="00206404">
        <w:fldChar w:fldCharType="begin"/>
      </w:r>
      <w:r w:rsidR="00206404">
        <w:instrText xml:space="preserve"> SEQ Table \* ARABIC </w:instrText>
      </w:r>
      <w:r w:rsidR="00206404">
        <w:fldChar w:fldCharType="separate"/>
      </w:r>
      <w:r w:rsidR="00101DB0">
        <w:rPr>
          <w:noProof/>
        </w:rPr>
        <w:t>2</w:t>
      </w:r>
      <w:r w:rsidR="00206404">
        <w:rPr>
          <w:noProof/>
        </w:rPr>
        <w:fldChar w:fldCharType="end"/>
      </w:r>
      <w:r>
        <w:t>: Summary of cases reporting a potential interaction between warfarin and topical miconazole containing medicines reported to CARM</w:t>
      </w:r>
    </w:p>
    <w:tbl>
      <w:tblPr>
        <w:tblStyle w:val="TableGrid"/>
        <w:tblW w:w="9201" w:type="dxa"/>
        <w:tblLayout w:type="fixed"/>
        <w:tblLook w:val="04A0" w:firstRow="1" w:lastRow="0" w:firstColumn="1" w:lastColumn="0" w:noHBand="0" w:noVBand="1"/>
      </w:tblPr>
      <w:tblGrid>
        <w:gridCol w:w="988"/>
        <w:gridCol w:w="1059"/>
        <w:gridCol w:w="986"/>
        <w:gridCol w:w="3341"/>
        <w:gridCol w:w="2827"/>
      </w:tblGrid>
      <w:tr w:rsidR="00CC7F45" w:rsidRPr="00CC7F45" w14:paraId="3DE90C1C" w14:textId="77777777" w:rsidTr="001B6543">
        <w:tc>
          <w:tcPr>
            <w:tcW w:w="988" w:type="dxa"/>
          </w:tcPr>
          <w:p w14:paraId="536A16BD" w14:textId="77777777" w:rsidR="00CC7F45" w:rsidRPr="00CC7F45" w:rsidRDefault="00CC7F45" w:rsidP="001B6543">
            <w:pPr>
              <w:rPr>
                <w:b/>
              </w:rPr>
            </w:pPr>
            <w:r w:rsidRPr="00CC7F45">
              <w:rPr>
                <w:b/>
              </w:rPr>
              <w:t>ID</w:t>
            </w:r>
          </w:p>
        </w:tc>
        <w:tc>
          <w:tcPr>
            <w:tcW w:w="1059" w:type="dxa"/>
          </w:tcPr>
          <w:p w14:paraId="27F73777" w14:textId="77777777" w:rsidR="00CC7F45" w:rsidRPr="00CC7F45" w:rsidRDefault="00CC7F45" w:rsidP="001B6543">
            <w:pPr>
              <w:rPr>
                <w:b/>
              </w:rPr>
            </w:pPr>
            <w:r w:rsidRPr="00CC7F45">
              <w:rPr>
                <w:b/>
              </w:rPr>
              <w:t>Date</w:t>
            </w:r>
          </w:p>
        </w:tc>
        <w:tc>
          <w:tcPr>
            <w:tcW w:w="986" w:type="dxa"/>
          </w:tcPr>
          <w:p w14:paraId="52178BCC" w14:textId="77777777" w:rsidR="00CC7F45" w:rsidRPr="00CC7F45" w:rsidRDefault="00CC7F45" w:rsidP="001B6543">
            <w:pPr>
              <w:rPr>
                <w:b/>
              </w:rPr>
            </w:pPr>
            <w:r w:rsidRPr="00CC7F45">
              <w:rPr>
                <w:b/>
              </w:rPr>
              <w:t>Age/</w:t>
            </w:r>
            <w:r w:rsidR="001B6543">
              <w:rPr>
                <w:b/>
              </w:rPr>
              <w:t xml:space="preserve"> </w:t>
            </w:r>
            <w:r w:rsidRPr="00CC7F45">
              <w:rPr>
                <w:b/>
              </w:rPr>
              <w:t>gender</w:t>
            </w:r>
          </w:p>
        </w:tc>
        <w:tc>
          <w:tcPr>
            <w:tcW w:w="3341" w:type="dxa"/>
          </w:tcPr>
          <w:p w14:paraId="6C5AFA75" w14:textId="77777777" w:rsidR="00CC7F45" w:rsidRPr="00CC7F45" w:rsidRDefault="00CC7F45" w:rsidP="001B6543">
            <w:pPr>
              <w:rPr>
                <w:b/>
              </w:rPr>
            </w:pPr>
            <w:r w:rsidRPr="00CC7F45">
              <w:rPr>
                <w:b/>
              </w:rPr>
              <w:t>Medicine details</w:t>
            </w:r>
          </w:p>
        </w:tc>
        <w:tc>
          <w:tcPr>
            <w:tcW w:w="2827" w:type="dxa"/>
          </w:tcPr>
          <w:p w14:paraId="7947432D" w14:textId="77777777" w:rsidR="00CC7F45" w:rsidRPr="00CC7F45" w:rsidRDefault="00CC7F45" w:rsidP="001B6543">
            <w:pPr>
              <w:rPr>
                <w:b/>
              </w:rPr>
            </w:pPr>
            <w:r w:rsidRPr="00CC7F45">
              <w:rPr>
                <w:b/>
              </w:rPr>
              <w:t>Comments</w:t>
            </w:r>
          </w:p>
        </w:tc>
      </w:tr>
      <w:tr w:rsidR="00CC7F45" w:rsidRPr="00CC7F45" w14:paraId="5B896275" w14:textId="77777777" w:rsidTr="001B6543">
        <w:tc>
          <w:tcPr>
            <w:tcW w:w="988" w:type="dxa"/>
          </w:tcPr>
          <w:p w14:paraId="30826444" w14:textId="77777777" w:rsidR="00CC7F45" w:rsidRPr="00CC7F45" w:rsidRDefault="00CC7F45" w:rsidP="001B6543">
            <w:r w:rsidRPr="00CC7F45">
              <w:t>017417</w:t>
            </w:r>
          </w:p>
        </w:tc>
        <w:tc>
          <w:tcPr>
            <w:tcW w:w="1059" w:type="dxa"/>
          </w:tcPr>
          <w:p w14:paraId="154D533B" w14:textId="77777777" w:rsidR="00CC7F45" w:rsidRPr="00CC7F45" w:rsidRDefault="00CC7F45" w:rsidP="001B6543">
            <w:r w:rsidRPr="00CC7F45">
              <w:t>Jul 88</w:t>
            </w:r>
          </w:p>
        </w:tc>
        <w:tc>
          <w:tcPr>
            <w:tcW w:w="986" w:type="dxa"/>
          </w:tcPr>
          <w:p w14:paraId="527EBFB2" w14:textId="77777777" w:rsidR="00CC7F45" w:rsidRPr="00CC7F45" w:rsidRDefault="00CC7F45" w:rsidP="001B6543">
            <w:r w:rsidRPr="00CC7F45">
              <w:t>57/M</w:t>
            </w:r>
          </w:p>
        </w:tc>
        <w:tc>
          <w:tcPr>
            <w:tcW w:w="3341" w:type="dxa"/>
          </w:tcPr>
          <w:p w14:paraId="638CF185" w14:textId="77777777" w:rsidR="00CC7F45" w:rsidRPr="00CC7F45" w:rsidRDefault="00CC7F45" w:rsidP="001B6543">
            <w:r w:rsidRPr="00CC7F45">
              <w:t>Oral gel</w:t>
            </w:r>
          </w:p>
        </w:tc>
        <w:tc>
          <w:tcPr>
            <w:tcW w:w="2827" w:type="dxa"/>
          </w:tcPr>
          <w:p w14:paraId="311A5DB3" w14:textId="77777777" w:rsidR="00CC7F45" w:rsidRPr="00CC7F45" w:rsidRDefault="00CC7F45" w:rsidP="001B6543">
            <w:r w:rsidRPr="00CC7F45">
              <w:t>Bleed reported</w:t>
            </w:r>
          </w:p>
        </w:tc>
      </w:tr>
      <w:tr w:rsidR="00CC7F45" w:rsidRPr="00CC7F45" w14:paraId="6A5B82FE" w14:textId="77777777" w:rsidTr="001B6543">
        <w:tc>
          <w:tcPr>
            <w:tcW w:w="988" w:type="dxa"/>
          </w:tcPr>
          <w:p w14:paraId="409318D1" w14:textId="77777777" w:rsidR="00CC7F45" w:rsidRPr="00CC7F45" w:rsidRDefault="00CC7F45" w:rsidP="001B6543">
            <w:r w:rsidRPr="00CC7F45">
              <w:t>024835</w:t>
            </w:r>
          </w:p>
        </w:tc>
        <w:tc>
          <w:tcPr>
            <w:tcW w:w="1059" w:type="dxa"/>
          </w:tcPr>
          <w:p w14:paraId="662BDC7F" w14:textId="77777777" w:rsidR="00CC7F45" w:rsidRPr="00CC7F45" w:rsidRDefault="00CC7F45" w:rsidP="001B6543">
            <w:r w:rsidRPr="00CC7F45">
              <w:t>Sep 93</w:t>
            </w:r>
          </w:p>
        </w:tc>
        <w:tc>
          <w:tcPr>
            <w:tcW w:w="986" w:type="dxa"/>
          </w:tcPr>
          <w:p w14:paraId="3BB6D46C" w14:textId="77777777" w:rsidR="00CC7F45" w:rsidRPr="00CC7F45" w:rsidRDefault="00CC7F45" w:rsidP="001B6543">
            <w:r w:rsidRPr="00CC7F45">
              <w:t>82/F</w:t>
            </w:r>
          </w:p>
        </w:tc>
        <w:tc>
          <w:tcPr>
            <w:tcW w:w="3341" w:type="dxa"/>
          </w:tcPr>
          <w:p w14:paraId="6FFFF65E" w14:textId="77777777" w:rsidR="00CC7F45" w:rsidRPr="00CC7F45" w:rsidRDefault="00CC7F45" w:rsidP="001B6543">
            <w:r w:rsidRPr="00CC7F45">
              <w:t>Oral gel, enalapril, thyroxine, digoxin</w:t>
            </w:r>
          </w:p>
        </w:tc>
        <w:tc>
          <w:tcPr>
            <w:tcW w:w="2827" w:type="dxa"/>
          </w:tcPr>
          <w:p w14:paraId="499B6AC2" w14:textId="77777777" w:rsidR="00CC7F45" w:rsidRPr="00CC7F45" w:rsidRDefault="00CC7F45" w:rsidP="001B6543">
            <w:r w:rsidRPr="00CC7F45">
              <w:t>Bleed reported</w:t>
            </w:r>
          </w:p>
        </w:tc>
      </w:tr>
      <w:tr w:rsidR="00CC7F45" w:rsidRPr="00CC7F45" w14:paraId="66D6C8EF" w14:textId="77777777" w:rsidTr="001B6543">
        <w:tc>
          <w:tcPr>
            <w:tcW w:w="988" w:type="dxa"/>
          </w:tcPr>
          <w:p w14:paraId="53BD4767" w14:textId="77777777" w:rsidR="00CC7F45" w:rsidRPr="00CC7F45" w:rsidRDefault="00CC7F45" w:rsidP="001B6543">
            <w:r w:rsidRPr="00CC7F45">
              <w:t>028349</w:t>
            </w:r>
          </w:p>
        </w:tc>
        <w:tc>
          <w:tcPr>
            <w:tcW w:w="1059" w:type="dxa"/>
          </w:tcPr>
          <w:p w14:paraId="1F69214C" w14:textId="77777777" w:rsidR="00CC7F45" w:rsidRPr="00CC7F45" w:rsidRDefault="00CC7F45" w:rsidP="001B6543">
            <w:r w:rsidRPr="00CC7F45">
              <w:t>Apr 95</w:t>
            </w:r>
          </w:p>
        </w:tc>
        <w:tc>
          <w:tcPr>
            <w:tcW w:w="986" w:type="dxa"/>
          </w:tcPr>
          <w:p w14:paraId="1F2F2326" w14:textId="77777777" w:rsidR="00CC7F45" w:rsidRPr="00CC7F45" w:rsidRDefault="00CC7F45" w:rsidP="001B6543">
            <w:r w:rsidRPr="00CC7F45">
              <w:t>68/F</w:t>
            </w:r>
          </w:p>
        </w:tc>
        <w:tc>
          <w:tcPr>
            <w:tcW w:w="3341" w:type="dxa"/>
          </w:tcPr>
          <w:p w14:paraId="6E6427AB" w14:textId="77777777" w:rsidR="00CC7F45" w:rsidRPr="00CC7F45" w:rsidRDefault="00CC7F45" w:rsidP="001B6543">
            <w:r w:rsidRPr="00CC7F45">
              <w:t>Oral gel, nifedepine, theophylline, prednisone</w:t>
            </w:r>
          </w:p>
        </w:tc>
        <w:tc>
          <w:tcPr>
            <w:tcW w:w="2827" w:type="dxa"/>
          </w:tcPr>
          <w:p w14:paraId="1352B42C" w14:textId="77777777" w:rsidR="00CC7F45" w:rsidRPr="00CC7F45" w:rsidRDefault="00CC7F45" w:rsidP="001B6543">
            <w:r w:rsidRPr="00CC7F45">
              <w:t>Bleed reported</w:t>
            </w:r>
          </w:p>
        </w:tc>
      </w:tr>
      <w:tr w:rsidR="00CC7F45" w:rsidRPr="00CC7F45" w14:paraId="4D373F6F" w14:textId="77777777" w:rsidTr="001B6543">
        <w:tc>
          <w:tcPr>
            <w:tcW w:w="988" w:type="dxa"/>
          </w:tcPr>
          <w:p w14:paraId="58E76791" w14:textId="77777777" w:rsidR="00CC7F45" w:rsidRPr="00CC7F45" w:rsidRDefault="00CC7F45" w:rsidP="001B6543">
            <w:r w:rsidRPr="00CC7F45">
              <w:t>028584</w:t>
            </w:r>
          </w:p>
        </w:tc>
        <w:tc>
          <w:tcPr>
            <w:tcW w:w="1059" w:type="dxa"/>
          </w:tcPr>
          <w:p w14:paraId="407D1159" w14:textId="77777777" w:rsidR="00CC7F45" w:rsidRPr="00CC7F45" w:rsidRDefault="00CC7F45" w:rsidP="001B6543">
            <w:r w:rsidRPr="00CC7F45">
              <w:t>Jun 95</w:t>
            </w:r>
          </w:p>
        </w:tc>
        <w:tc>
          <w:tcPr>
            <w:tcW w:w="986" w:type="dxa"/>
          </w:tcPr>
          <w:p w14:paraId="190F5DD9" w14:textId="77777777" w:rsidR="00CC7F45" w:rsidRPr="00CC7F45" w:rsidRDefault="00CC7F45" w:rsidP="001B6543">
            <w:r w:rsidRPr="00CC7F45">
              <w:t>46/F</w:t>
            </w:r>
          </w:p>
        </w:tc>
        <w:tc>
          <w:tcPr>
            <w:tcW w:w="3341" w:type="dxa"/>
          </w:tcPr>
          <w:p w14:paraId="7D90117D" w14:textId="77777777" w:rsidR="00CC7F45" w:rsidRPr="00CC7F45" w:rsidRDefault="00CC7F45" w:rsidP="001B6543">
            <w:r w:rsidRPr="00CC7F45">
              <w:t>Oral gel, frusemide, spironolactone, ranitidine</w:t>
            </w:r>
          </w:p>
        </w:tc>
        <w:tc>
          <w:tcPr>
            <w:tcW w:w="2827" w:type="dxa"/>
          </w:tcPr>
          <w:p w14:paraId="1AFBE970" w14:textId="77777777" w:rsidR="00CC7F45" w:rsidRPr="00CC7F45" w:rsidRDefault="00CC7F45" w:rsidP="001B6543">
            <w:r w:rsidRPr="00CC7F45">
              <w:t>Bleed reported</w:t>
            </w:r>
          </w:p>
        </w:tc>
      </w:tr>
      <w:tr w:rsidR="00CC7F45" w:rsidRPr="00CC7F45" w14:paraId="70BB83B1" w14:textId="77777777" w:rsidTr="001B6543">
        <w:tc>
          <w:tcPr>
            <w:tcW w:w="988" w:type="dxa"/>
          </w:tcPr>
          <w:p w14:paraId="5B8965AE" w14:textId="77777777" w:rsidR="00CC7F45" w:rsidRPr="00CC7F45" w:rsidRDefault="00CC7F45" w:rsidP="001B6543">
            <w:r w:rsidRPr="00CC7F45">
              <w:t>030004</w:t>
            </w:r>
          </w:p>
        </w:tc>
        <w:tc>
          <w:tcPr>
            <w:tcW w:w="1059" w:type="dxa"/>
          </w:tcPr>
          <w:p w14:paraId="410EB4AE" w14:textId="77777777" w:rsidR="00CC7F45" w:rsidRPr="00CC7F45" w:rsidRDefault="00CC7F45" w:rsidP="001B6543">
            <w:r w:rsidRPr="00CC7F45">
              <w:t>Feb 96</w:t>
            </w:r>
          </w:p>
        </w:tc>
        <w:tc>
          <w:tcPr>
            <w:tcW w:w="986" w:type="dxa"/>
          </w:tcPr>
          <w:p w14:paraId="6C364356" w14:textId="77777777" w:rsidR="00CC7F45" w:rsidRPr="00CC7F45" w:rsidRDefault="00CC7F45" w:rsidP="001B6543">
            <w:r w:rsidRPr="00CC7F45">
              <w:t>70/F</w:t>
            </w:r>
          </w:p>
        </w:tc>
        <w:tc>
          <w:tcPr>
            <w:tcW w:w="3341" w:type="dxa"/>
          </w:tcPr>
          <w:p w14:paraId="78C2290F" w14:textId="2F702FB1" w:rsidR="00CC7F45" w:rsidRPr="00CC7F45" w:rsidRDefault="0067460F" w:rsidP="001B6543">
            <w:r>
              <w:t xml:space="preserve">Oral gel, </w:t>
            </w:r>
            <w:r w:rsidR="00CC7F45" w:rsidRPr="00CC7F45">
              <w:t>medroxyprogesterone</w:t>
            </w:r>
          </w:p>
        </w:tc>
        <w:tc>
          <w:tcPr>
            <w:tcW w:w="2827" w:type="dxa"/>
          </w:tcPr>
          <w:p w14:paraId="4BAE172A" w14:textId="77777777" w:rsidR="00CC7F45" w:rsidRPr="00CC7F45" w:rsidRDefault="00CC7F45" w:rsidP="001B6543">
            <w:r w:rsidRPr="00CC7F45">
              <w:t>No bleed reported</w:t>
            </w:r>
          </w:p>
        </w:tc>
      </w:tr>
      <w:tr w:rsidR="00CC7F45" w:rsidRPr="00CC7F45" w14:paraId="205990D7" w14:textId="77777777" w:rsidTr="001B6543">
        <w:tc>
          <w:tcPr>
            <w:tcW w:w="988" w:type="dxa"/>
          </w:tcPr>
          <w:p w14:paraId="64B80A8B" w14:textId="77777777" w:rsidR="00CC7F45" w:rsidRPr="00CC7F45" w:rsidRDefault="00CC7F45" w:rsidP="001B6543">
            <w:r w:rsidRPr="00CC7F45">
              <w:t>031049</w:t>
            </w:r>
          </w:p>
        </w:tc>
        <w:tc>
          <w:tcPr>
            <w:tcW w:w="1059" w:type="dxa"/>
          </w:tcPr>
          <w:p w14:paraId="03797069" w14:textId="77777777" w:rsidR="00CC7F45" w:rsidRPr="00CC7F45" w:rsidRDefault="00CC7F45" w:rsidP="001B6543">
            <w:r w:rsidRPr="00CC7F45">
              <w:t>May 96</w:t>
            </w:r>
          </w:p>
        </w:tc>
        <w:tc>
          <w:tcPr>
            <w:tcW w:w="986" w:type="dxa"/>
          </w:tcPr>
          <w:p w14:paraId="64DA0D90" w14:textId="77777777" w:rsidR="00CC7F45" w:rsidRPr="00CC7F45" w:rsidRDefault="00CC7F45" w:rsidP="001B6543">
            <w:r w:rsidRPr="00CC7F45">
              <w:t>79/F</w:t>
            </w:r>
          </w:p>
        </w:tc>
        <w:tc>
          <w:tcPr>
            <w:tcW w:w="3341" w:type="dxa"/>
          </w:tcPr>
          <w:p w14:paraId="1C47279B" w14:textId="77777777" w:rsidR="00CC7F45" w:rsidRPr="00CC7F45" w:rsidRDefault="00CC7F45" w:rsidP="001B6543">
            <w:r w:rsidRPr="00CC7F45">
              <w:t>Oral gel, budesonide, salbutamol, amphotericin B</w:t>
            </w:r>
          </w:p>
        </w:tc>
        <w:tc>
          <w:tcPr>
            <w:tcW w:w="2827" w:type="dxa"/>
          </w:tcPr>
          <w:p w14:paraId="70C71410" w14:textId="77777777" w:rsidR="00CC7F45" w:rsidRPr="00CC7F45" w:rsidRDefault="00CC7F45" w:rsidP="001B6543">
            <w:r w:rsidRPr="00CC7F45">
              <w:t>Bleed reported</w:t>
            </w:r>
          </w:p>
        </w:tc>
      </w:tr>
      <w:tr w:rsidR="00CC7F45" w:rsidRPr="00CC7F45" w14:paraId="6FF5F1A4" w14:textId="77777777" w:rsidTr="001B6543">
        <w:tc>
          <w:tcPr>
            <w:tcW w:w="988" w:type="dxa"/>
          </w:tcPr>
          <w:p w14:paraId="271658A8" w14:textId="77777777" w:rsidR="00CC7F45" w:rsidRPr="00CC7F45" w:rsidRDefault="00CC7F45" w:rsidP="001B6543">
            <w:r w:rsidRPr="00CC7F45">
              <w:t>032712</w:t>
            </w:r>
          </w:p>
        </w:tc>
        <w:tc>
          <w:tcPr>
            <w:tcW w:w="1059" w:type="dxa"/>
          </w:tcPr>
          <w:p w14:paraId="1F53E2A0" w14:textId="77777777" w:rsidR="00CC7F45" w:rsidRPr="00CC7F45" w:rsidRDefault="00CC7F45" w:rsidP="001B6543">
            <w:r w:rsidRPr="00CC7F45">
              <w:t>Nov 96</w:t>
            </w:r>
          </w:p>
        </w:tc>
        <w:tc>
          <w:tcPr>
            <w:tcW w:w="986" w:type="dxa"/>
          </w:tcPr>
          <w:p w14:paraId="7029D370" w14:textId="77777777" w:rsidR="00CC7F45" w:rsidRPr="00CC7F45" w:rsidRDefault="00CC7F45" w:rsidP="001B6543">
            <w:r w:rsidRPr="00CC7F45">
              <w:t>67/F</w:t>
            </w:r>
          </w:p>
        </w:tc>
        <w:tc>
          <w:tcPr>
            <w:tcW w:w="3341" w:type="dxa"/>
          </w:tcPr>
          <w:p w14:paraId="0FA15C30" w14:textId="77777777" w:rsidR="00CC7F45" w:rsidRPr="00CC7F45" w:rsidRDefault="00CC7F45" w:rsidP="001B6543">
            <w:r w:rsidRPr="00CC7F45">
              <w:t>Oral gel</w:t>
            </w:r>
          </w:p>
        </w:tc>
        <w:tc>
          <w:tcPr>
            <w:tcW w:w="2827" w:type="dxa"/>
          </w:tcPr>
          <w:p w14:paraId="3C5A5183" w14:textId="77777777" w:rsidR="00CC7F45" w:rsidRPr="00CC7F45" w:rsidRDefault="00CC7F45" w:rsidP="001B6543">
            <w:r w:rsidRPr="00CC7F45">
              <w:t>Bleed reported</w:t>
            </w:r>
          </w:p>
        </w:tc>
      </w:tr>
      <w:tr w:rsidR="00CC7F45" w:rsidRPr="00CC7F45" w14:paraId="7A722539" w14:textId="77777777" w:rsidTr="001B6543">
        <w:tc>
          <w:tcPr>
            <w:tcW w:w="988" w:type="dxa"/>
          </w:tcPr>
          <w:p w14:paraId="494425BA" w14:textId="77777777" w:rsidR="00CC7F45" w:rsidRPr="00CC7F45" w:rsidRDefault="00CC7F45" w:rsidP="001B6543">
            <w:r w:rsidRPr="00CC7F45">
              <w:t>039263</w:t>
            </w:r>
          </w:p>
        </w:tc>
        <w:tc>
          <w:tcPr>
            <w:tcW w:w="1059" w:type="dxa"/>
          </w:tcPr>
          <w:p w14:paraId="566821DE" w14:textId="77777777" w:rsidR="00CC7F45" w:rsidRPr="00CC7F45" w:rsidRDefault="00CC7F45" w:rsidP="001B6543">
            <w:r w:rsidRPr="00CC7F45">
              <w:t>Sep 98</w:t>
            </w:r>
          </w:p>
        </w:tc>
        <w:tc>
          <w:tcPr>
            <w:tcW w:w="986" w:type="dxa"/>
          </w:tcPr>
          <w:p w14:paraId="73E81E8F" w14:textId="77777777" w:rsidR="00CC7F45" w:rsidRPr="00CC7F45" w:rsidRDefault="00CC7F45" w:rsidP="001B6543">
            <w:r w:rsidRPr="00CC7F45">
              <w:t>83/M</w:t>
            </w:r>
          </w:p>
        </w:tc>
        <w:tc>
          <w:tcPr>
            <w:tcW w:w="3341" w:type="dxa"/>
          </w:tcPr>
          <w:p w14:paraId="2AE936C8" w14:textId="77777777" w:rsidR="00CC7F45" w:rsidRPr="00CC7F45" w:rsidRDefault="00CC7F45" w:rsidP="001B6543">
            <w:r w:rsidRPr="00CC7F45">
              <w:t>Oral gel, frusemide, famotidine, terazosin</w:t>
            </w:r>
          </w:p>
        </w:tc>
        <w:tc>
          <w:tcPr>
            <w:tcW w:w="2827" w:type="dxa"/>
          </w:tcPr>
          <w:p w14:paraId="4FE7609C" w14:textId="77777777" w:rsidR="00CC7F45" w:rsidRPr="00CC7F45" w:rsidRDefault="00CC7F45" w:rsidP="001B6543">
            <w:r w:rsidRPr="00CC7F45">
              <w:t>Bleed reported</w:t>
            </w:r>
          </w:p>
        </w:tc>
      </w:tr>
      <w:tr w:rsidR="00CC7F45" w:rsidRPr="00CC7F45" w14:paraId="47C93CA5" w14:textId="77777777" w:rsidTr="001B6543">
        <w:tc>
          <w:tcPr>
            <w:tcW w:w="988" w:type="dxa"/>
          </w:tcPr>
          <w:p w14:paraId="080AF2C6" w14:textId="77777777" w:rsidR="00CC7F45" w:rsidRPr="00CC7F45" w:rsidRDefault="00CC7F45" w:rsidP="001B6543">
            <w:r w:rsidRPr="00CC7F45">
              <w:t>056475</w:t>
            </w:r>
          </w:p>
        </w:tc>
        <w:tc>
          <w:tcPr>
            <w:tcW w:w="1059" w:type="dxa"/>
          </w:tcPr>
          <w:p w14:paraId="27103B2C" w14:textId="77777777" w:rsidR="00CC7F45" w:rsidRPr="00CC7F45" w:rsidRDefault="00CC7F45" w:rsidP="001B6543">
            <w:r w:rsidRPr="00CC7F45">
              <w:t>Jun 03</w:t>
            </w:r>
          </w:p>
        </w:tc>
        <w:tc>
          <w:tcPr>
            <w:tcW w:w="986" w:type="dxa"/>
          </w:tcPr>
          <w:p w14:paraId="34BAC507" w14:textId="77777777" w:rsidR="00CC7F45" w:rsidRPr="00CC7F45" w:rsidRDefault="00CC7F45" w:rsidP="001B6543">
            <w:r w:rsidRPr="00CC7F45">
              <w:t>71/F</w:t>
            </w:r>
          </w:p>
        </w:tc>
        <w:tc>
          <w:tcPr>
            <w:tcW w:w="3341" w:type="dxa"/>
          </w:tcPr>
          <w:p w14:paraId="7C25604D" w14:textId="77777777" w:rsidR="00CC7F45" w:rsidRPr="00CC7F45" w:rsidRDefault="00CC7F45" w:rsidP="001B6543">
            <w:r w:rsidRPr="00CC7F45">
              <w:t>Oral gel, sotalol, amiodarone, hydoxyurea</w:t>
            </w:r>
          </w:p>
        </w:tc>
        <w:tc>
          <w:tcPr>
            <w:tcW w:w="2827" w:type="dxa"/>
          </w:tcPr>
          <w:p w14:paraId="40EC641B" w14:textId="77777777" w:rsidR="00CC7F45" w:rsidRPr="00CC7F45" w:rsidRDefault="00CC7F45" w:rsidP="001B6543">
            <w:r w:rsidRPr="00CC7F45">
              <w:t>No bleed reported</w:t>
            </w:r>
          </w:p>
        </w:tc>
      </w:tr>
      <w:tr w:rsidR="00CC7F45" w:rsidRPr="00CC7F45" w14:paraId="23CC8FA3" w14:textId="77777777" w:rsidTr="001B6543">
        <w:tc>
          <w:tcPr>
            <w:tcW w:w="988" w:type="dxa"/>
          </w:tcPr>
          <w:p w14:paraId="0E2861CF" w14:textId="77777777" w:rsidR="00CC7F45" w:rsidRPr="00CC7F45" w:rsidRDefault="00CC7F45" w:rsidP="001B6543">
            <w:r w:rsidRPr="00CC7F45">
              <w:t>063181</w:t>
            </w:r>
          </w:p>
        </w:tc>
        <w:tc>
          <w:tcPr>
            <w:tcW w:w="1059" w:type="dxa"/>
          </w:tcPr>
          <w:p w14:paraId="3E3CE9D6" w14:textId="77777777" w:rsidR="00CC7F45" w:rsidRPr="00CC7F45" w:rsidRDefault="00CC7F45" w:rsidP="001B6543">
            <w:r w:rsidRPr="00CC7F45">
              <w:t>Nov 04</w:t>
            </w:r>
          </w:p>
        </w:tc>
        <w:tc>
          <w:tcPr>
            <w:tcW w:w="986" w:type="dxa"/>
          </w:tcPr>
          <w:p w14:paraId="41E393F4" w14:textId="77777777" w:rsidR="00CC7F45" w:rsidRPr="00CC7F45" w:rsidRDefault="00CC7F45" w:rsidP="001B6543">
            <w:r w:rsidRPr="00CC7F45">
              <w:t>73/F</w:t>
            </w:r>
          </w:p>
        </w:tc>
        <w:tc>
          <w:tcPr>
            <w:tcW w:w="3341" w:type="dxa"/>
          </w:tcPr>
          <w:p w14:paraId="52AFCFFB" w14:textId="77777777" w:rsidR="00CC7F45" w:rsidRPr="00CC7F45" w:rsidRDefault="00CC7F45" w:rsidP="001B6543">
            <w:r w:rsidRPr="00CC7F45">
              <w:t>Oral gel, diclofenac, paroxetine, simvastatin</w:t>
            </w:r>
          </w:p>
        </w:tc>
        <w:tc>
          <w:tcPr>
            <w:tcW w:w="2827" w:type="dxa"/>
          </w:tcPr>
          <w:p w14:paraId="3DCAAFF1" w14:textId="77777777" w:rsidR="00CC7F45" w:rsidRPr="00CC7F45" w:rsidRDefault="00CC7F45" w:rsidP="001B6543">
            <w:r w:rsidRPr="00CC7F45">
              <w:t>Bleed reported</w:t>
            </w:r>
          </w:p>
        </w:tc>
      </w:tr>
      <w:tr w:rsidR="00CC7F45" w:rsidRPr="00CC7F45" w14:paraId="1C3066C5" w14:textId="77777777" w:rsidTr="001B6543">
        <w:tc>
          <w:tcPr>
            <w:tcW w:w="988" w:type="dxa"/>
          </w:tcPr>
          <w:p w14:paraId="79AF26F2" w14:textId="77777777" w:rsidR="00CC7F45" w:rsidRPr="00CC7F45" w:rsidRDefault="00CC7F45" w:rsidP="001B6543">
            <w:r w:rsidRPr="00CC7F45">
              <w:t>063752</w:t>
            </w:r>
          </w:p>
        </w:tc>
        <w:tc>
          <w:tcPr>
            <w:tcW w:w="1059" w:type="dxa"/>
          </w:tcPr>
          <w:p w14:paraId="4F75FDBC" w14:textId="77777777" w:rsidR="00CC7F45" w:rsidRPr="00CC7F45" w:rsidRDefault="00CC7F45" w:rsidP="001B6543">
            <w:r w:rsidRPr="00CC7F45">
              <w:t>Jan 05</w:t>
            </w:r>
          </w:p>
        </w:tc>
        <w:tc>
          <w:tcPr>
            <w:tcW w:w="986" w:type="dxa"/>
          </w:tcPr>
          <w:p w14:paraId="7C93FDD2" w14:textId="77777777" w:rsidR="00CC7F45" w:rsidRPr="00CC7F45" w:rsidRDefault="00CC7F45" w:rsidP="001B6543">
            <w:r w:rsidRPr="00CC7F45">
              <w:t>81/F</w:t>
            </w:r>
          </w:p>
        </w:tc>
        <w:tc>
          <w:tcPr>
            <w:tcW w:w="3341" w:type="dxa"/>
          </w:tcPr>
          <w:p w14:paraId="547D4A0A" w14:textId="77777777" w:rsidR="00CC7F45" w:rsidRPr="00CC7F45" w:rsidRDefault="00CC7F45" w:rsidP="001B6543">
            <w:r w:rsidRPr="00CC7F45">
              <w:t>Oral gel, metoprolol, simvastatin, cilazapril / hydrochlorothiazide</w:t>
            </w:r>
          </w:p>
        </w:tc>
        <w:tc>
          <w:tcPr>
            <w:tcW w:w="2827" w:type="dxa"/>
          </w:tcPr>
          <w:p w14:paraId="658E3912" w14:textId="77777777" w:rsidR="00CC7F45" w:rsidRPr="00CC7F45" w:rsidRDefault="00CC7F45" w:rsidP="001B6543">
            <w:r w:rsidRPr="00CC7F45">
              <w:t>Bleed reported</w:t>
            </w:r>
          </w:p>
        </w:tc>
      </w:tr>
      <w:tr w:rsidR="00CC7F45" w:rsidRPr="00CC7F45" w14:paraId="4E85879C" w14:textId="77777777" w:rsidTr="001B6543">
        <w:tc>
          <w:tcPr>
            <w:tcW w:w="988" w:type="dxa"/>
          </w:tcPr>
          <w:p w14:paraId="07E35761" w14:textId="77777777" w:rsidR="00CC7F45" w:rsidRPr="00CC7F45" w:rsidRDefault="00CC7F45" w:rsidP="001B6543">
            <w:r w:rsidRPr="00CC7F45">
              <w:t>074678</w:t>
            </w:r>
          </w:p>
        </w:tc>
        <w:tc>
          <w:tcPr>
            <w:tcW w:w="1059" w:type="dxa"/>
          </w:tcPr>
          <w:p w14:paraId="379BE67A" w14:textId="77777777" w:rsidR="00CC7F45" w:rsidRPr="00CC7F45" w:rsidRDefault="00CC7F45" w:rsidP="001B6543">
            <w:r w:rsidRPr="00CC7F45">
              <w:t>Mar 07</w:t>
            </w:r>
          </w:p>
        </w:tc>
        <w:tc>
          <w:tcPr>
            <w:tcW w:w="986" w:type="dxa"/>
          </w:tcPr>
          <w:p w14:paraId="72E59FAC" w14:textId="77777777" w:rsidR="00CC7F45" w:rsidRPr="00CC7F45" w:rsidRDefault="00CC7F45" w:rsidP="001B6543">
            <w:r w:rsidRPr="00CC7F45">
              <w:t>68/F</w:t>
            </w:r>
          </w:p>
        </w:tc>
        <w:tc>
          <w:tcPr>
            <w:tcW w:w="3341" w:type="dxa"/>
          </w:tcPr>
          <w:p w14:paraId="6E2B8304" w14:textId="77777777" w:rsidR="00CC7F45" w:rsidRPr="00CC7F45" w:rsidRDefault="00CC7F45" w:rsidP="001B6543">
            <w:r w:rsidRPr="00CC7F45">
              <w:t>Oral gel, olanzapine, metformin, eformoterol</w:t>
            </w:r>
          </w:p>
        </w:tc>
        <w:tc>
          <w:tcPr>
            <w:tcW w:w="2827" w:type="dxa"/>
          </w:tcPr>
          <w:p w14:paraId="164E2246" w14:textId="77777777" w:rsidR="00CC7F45" w:rsidRPr="00CC7F45" w:rsidRDefault="00CC7F45" w:rsidP="001B6543">
            <w:r w:rsidRPr="00CC7F45">
              <w:t>No bleed reported</w:t>
            </w:r>
          </w:p>
        </w:tc>
      </w:tr>
      <w:tr w:rsidR="00CC7F45" w:rsidRPr="00CC7F45" w14:paraId="3DFD624F" w14:textId="77777777" w:rsidTr="001B6543">
        <w:tc>
          <w:tcPr>
            <w:tcW w:w="988" w:type="dxa"/>
          </w:tcPr>
          <w:p w14:paraId="73B03DA4" w14:textId="77777777" w:rsidR="00CC7F45" w:rsidRPr="00CC7F45" w:rsidRDefault="00CC7F45" w:rsidP="001B6543">
            <w:r w:rsidRPr="00CC7F45">
              <w:t>079124</w:t>
            </w:r>
          </w:p>
        </w:tc>
        <w:tc>
          <w:tcPr>
            <w:tcW w:w="1059" w:type="dxa"/>
          </w:tcPr>
          <w:p w14:paraId="4B39B1D7" w14:textId="77777777" w:rsidR="00CC7F45" w:rsidRPr="00CC7F45" w:rsidRDefault="00CC7F45" w:rsidP="001B6543">
            <w:r w:rsidRPr="00CC7F45">
              <w:t>Jun 08</w:t>
            </w:r>
          </w:p>
        </w:tc>
        <w:tc>
          <w:tcPr>
            <w:tcW w:w="986" w:type="dxa"/>
          </w:tcPr>
          <w:p w14:paraId="7F686948" w14:textId="77777777" w:rsidR="00CC7F45" w:rsidRPr="00CC7F45" w:rsidRDefault="00CC7F45" w:rsidP="001B6543">
            <w:r w:rsidRPr="00CC7F45">
              <w:t>75/F</w:t>
            </w:r>
          </w:p>
        </w:tc>
        <w:tc>
          <w:tcPr>
            <w:tcW w:w="3341" w:type="dxa"/>
          </w:tcPr>
          <w:p w14:paraId="639BE9BD" w14:textId="77777777" w:rsidR="00CC7F45" w:rsidRPr="00CC7F45" w:rsidRDefault="00CC7F45" w:rsidP="001B6543">
            <w:r w:rsidRPr="00CC7F45">
              <w:t>Oral gel</w:t>
            </w:r>
          </w:p>
        </w:tc>
        <w:tc>
          <w:tcPr>
            <w:tcW w:w="2827" w:type="dxa"/>
          </w:tcPr>
          <w:p w14:paraId="6F62D7CA" w14:textId="77777777" w:rsidR="00CC7F45" w:rsidRPr="00CC7F45" w:rsidRDefault="00CC7F45" w:rsidP="001B6543">
            <w:r w:rsidRPr="00CC7F45">
              <w:t>Bleed reported</w:t>
            </w:r>
          </w:p>
        </w:tc>
      </w:tr>
      <w:tr w:rsidR="00CC7F45" w:rsidRPr="00CC7F45" w14:paraId="5BE98A26" w14:textId="77777777" w:rsidTr="001B6543">
        <w:tc>
          <w:tcPr>
            <w:tcW w:w="988" w:type="dxa"/>
          </w:tcPr>
          <w:p w14:paraId="3CB14957" w14:textId="77777777" w:rsidR="00CC7F45" w:rsidRPr="00CC7F45" w:rsidRDefault="00CC7F45" w:rsidP="001B6543">
            <w:r w:rsidRPr="00CC7F45">
              <w:t>091305</w:t>
            </w:r>
          </w:p>
        </w:tc>
        <w:tc>
          <w:tcPr>
            <w:tcW w:w="1059" w:type="dxa"/>
          </w:tcPr>
          <w:p w14:paraId="785763DF" w14:textId="77777777" w:rsidR="00CC7F45" w:rsidRPr="00CC7F45" w:rsidRDefault="00CC7F45" w:rsidP="001B6543">
            <w:r w:rsidRPr="00CC7F45">
              <w:t>Aug 10</w:t>
            </w:r>
          </w:p>
        </w:tc>
        <w:tc>
          <w:tcPr>
            <w:tcW w:w="986" w:type="dxa"/>
          </w:tcPr>
          <w:p w14:paraId="4B9F56F9" w14:textId="77777777" w:rsidR="00CC7F45" w:rsidRPr="00CC7F45" w:rsidRDefault="00CC7F45" w:rsidP="001B6543">
            <w:r w:rsidRPr="00CC7F45">
              <w:t>87/F</w:t>
            </w:r>
          </w:p>
        </w:tc>
        <w:tc>
          <w:tcPr>
            <w:tcW w:w="3341" w:type="dxa"/>
          </w:tcPr>
          <w:p w14:paraId="3AD87D20" w14:textId="77777777" w:rsidR="00CC7F45" w:rsidRPr="00CC7F45" w:rsidRDefault="00CC7F45" w:rsidP="001B6543">
            <w:r w:rsidRPr="00CC7F45">
              <w:t>Oral gel, doxycycline, frusemide, digoxin</w:t>
            </w:r>
          </w:p>
        </w:tc>
        <w:tc>
          <w:tcPr>
            <w:tcW w:w="2827" w:type="dxa"/>
          </w:tcPr>
          <w:p w14:paraId="1E451955" w14:textId="77777777" w:rsidR="00CC7F45" w:rsidRPr="00CC7F45" w:rsidRDefault="00CC7F45" w:rsidP="001B6543">
            <w:r w:rsidRPr="00CC7F45">
              <w:t>Bleed reported</w:t>
            </w:r>
          </w:p>
        </w:tc>
      </w:tr>
      <w:tr w:rsidR="00CC7F45" w:rsidRPr="00CC7F45" w14:paraId="73720804" w14:textId="77777777" w:rsidTr="001B6543">
        <w:tc>
          <w:tcPr>
            <w:tcW w:w="988" w:type="dxa"/>
          </w:tcPr>
          <w:p w14:paraId="2965BD75" w14:textId="77777777" w:rsidR="00CC7F45" w:rsidRPr="00CC7F45" w:rsidRDefault="00CC7F45" w:rsidP="001B6543">
            <w:r w:rsidRPr="00CC7F45">
              <w:t>105395</w:t>
            </w:r>
          </w:p>
        </w:tc>
        <w:tc>
          <w:tcPr>
            <w:tcW w:w="1059" w:type="dxa"/>
          </w:tcPr>
          <w:p w14:paraId="3F21E953" w14:textId="77777777" w:rsidR="00CC7F45" w:rsidRPr="00CC7F45" w:rsidRDefault="00CC7F45" w:rsidP="001B6543">
            <w:r w:rsidRPr="00CC7F45">
              <w:t>Jan 13</w:t>
            </w:r>
          </w:p>
        </w:tc>
        <w:tc>
          <w:tcPr>
            <w:tcW w:w="986" w:type="dxa"/>
          </w:tcPr>
          <w:p w14:paraId="1300FB5C" w14:textId="77777777" w:rsidR="00CC7F45" w:rsidRPr="00CC7F45" w:rsidRDefault="00CC7F45" w:rsidP="001B6543">
            <w:r w:rsidRPr="00CC7F45">
              <w:t>81/F</w:t>
            </w:r>
          </w:p>
        </w:tc>
        <w:tc>
          <w:tcPr>
            <w:tcW w:w="3341" w:type="dxa"/>
          </w:tcPr>
          <w:p w14:paraId="27B7A29C" w14:textId="77777777" w:rsidR="00CC7F45" w:rsidRPr="00CC7F45" w:rsidRDefault="00CC7F45" w:rsidP="001B6543">
            <w:r w:rsidRPr="00CC7F45">
              <w:t>Oral gel, allopurinol, cefaclor, diltiazem</w:t>
            </w:r>
          </w:p>
        </w:tc>
        <w:tc>
          <w:tcPr>
            <w:tcW w:w="2827" w:type="dxa"/>
          </w:tcPr>
          <w:p w14:paraId="4AE5F843" w14:textId="77777777" w:rsidR="00CC7F45" w:rsidRPr="00CC7F45" w:rsidRDefault="00CC7F45" w:rsidP="001B6543">
            <w:r w:rsidRPr="00CC7F45">
              <w:t>Bleed reported INR &gt;20</w:t>
            </w:r>
          </w:p>
        </w:tc>
      </w:tr>
      <w:tr w:rsidR="00CC7F45" w:rsidRPr="00CC7F45" w14:paraId="34DAF159" w14:textId="77777777" w:rsidTr="001B6543">
        <w:tc>
          <w:tcPr>
            <w:tcW w:w="988" w:type="dxa"/>
          </w:tcPr>
          <w:p w14:paraId="78AA6DF2" w14:textId="77777777" w:rsidR="00CC7F45" w:rsidRPr="00CC7F45" w:rsidRDefault="00CC7F45" w:rsidP="001B6543">
            <w:r w:rsidRPr="00CC7F45">
              <w:lastRenderedPageBreak/>
              <w:t>106817</w:t>
            </w:r>
          </w:p>
        </w:tc>
        <w:tc>
          <w:tcPr>
            <w:tcW w:w="1059" w:type="dxa"/>
          </w:tcPr>
          <w:p w14:paraId="3D48DDB7" w14:textId="77777777" w:rsidR="00CC7F45" w:rsidRPr="00CC7F45" w:rsidRDefault="00CC7F45" w:rsidP="001B6543">
            <w:r w:rsidRPr="00CC7F45">
              <w:t>May 13</w:t>
            </w:r>
          </w:p>
        </w:tc>
        <w:tc>
          <w:tcPr>
            <w:tcW w:w="986" w:type="dxa"/>
          </w:tcPr>
          <w:p w14:paraId="2F6E989D" w14:textId="77777777" w:rsidR="00CC7F45" w:rsidRPr="00CC7F45" w:rsidRDefault="00CC7F45" w:rsidP="001B6543">
            <w:r w:rsidRPr="00CC7F45">
              <w:t>77/M</w:t>
            </w:r>
          </w:p>
        </w:tc>
        <w:tc>
          <w:tcPr>
            <w:tcW w:w="3341" w:type="dxa"/>
          </w:tcPr>
          <w:p w14:paraId="40E17E6D" w14:textId="77777777" w:rsidR="00CC7F45" w:rsidRPr="00CC7F45" w:rsidRDefault="00CC7F45" w:rsidP="001B6543">
            <w:r w:rsidRPr="00CC7F45">
              <w:t>Oral gel, verapamil, fluticasone/ salmeterol, omeprazole, digoxin cilazapril</w:t>
            </w:r>
          </w:p>
        </w:tc>
        <w:tc>
          <w:tcPr>
            <w:tcW w:w="2827" w:type="dxa"/>
          </w:tcPr>
          <w:p w14:paraId="25BBE8B3" w14:textId="77777777" w:rsidR="00CC7F45" w:rsidRPr="00CC7F45" w:rsidRDefault="00CC7F45" w:rsidP="001B6543">
            <w:r w:rsidRPr="00CC7F45">
              <w:t>Bleed reported INR &gt;10</w:t>
            </w:r>
          </w:p>
        </w:tc>
      </w:tr>
      <w:tr w:rsidR="00CC7F45" w:rsidRPr="00CC7F45" w14:paraId="42B00AAB" w14:textId="77777777" w:rsidTr="001B6543">
        <w:tc>
          <w:tcPr>
            <w:tcW w:w="988" w:type="dxa"/>
          </w:tcPr>
          <w:p w14:paraId="4E69A066" w14:textId="77777777" w:rsidR="00CC7F45" w:rsidRPr="00CC7F45" w:rsidRDefault="00CC7F45" w:rsidP="001B6543">
            <w:r w:rsidRPr="00CC7F45">
              <w:t>109356</w:t>
            </w:r>
          </w:p>
        </w:tc>
        <w:tc>
          <w:tcPr>
            <w:tcW w:w="1059" w:type="dxa"/>
          </w:tcPr>
          <w:p w14:paraId="453B4451" w14:textId="77777777" w:rsidR="00CC7F45" w:rsidRPr="00CC7F45" w:rsidRDefault="00CC7F45" w:rsidP="001B6543">
            <w:r w:rsidRPr="00CC7F45">
              <w:t>Jan 14</w:t>
            </w:r>
          </w:p>
        </w:tc>
        <w:tc>
          <w:tcPr>
            <w:tcW w:w="986" w:type="dxa"/>
          </w:tcPr>
          <w:p w14:paraId="0DB8BA69" w14:textId="77777777" w:rsidR="00CC7F45" w:rsidRPr="00CC7F45" w:rsidRDefault="00CC7F45" w:rsidP="001B6543">
            <w:r w:rsidRPr="00CC7F45">
              <w:t>79/F</w:t>
            </w:r>
          </w:p>
        </w:tc>
        <w:tc>
          <w:tcPr>
            <w:tcW w:w="3341" w:type="dxa"/>
          </w:tcPr>
          <w:p w14:paraId="02D3FF9A" w14:textId="77777777" w:rsidR="00CC7F45" w:rsidRPr="00CC7F45" w:rsidRDefault="00CC7F45" w:rsidP="001B6543">
            <w:r w:rsidRPr="00CC7F45">
              <w:t>Oral gel</w:t>
            </w:r>
          </w:p>
        </w:tc>
        <w:tc>
          <w:tcPr>
            <w:tcW w:w="2827" w:type="dxa"/>
          </w:tcPr>
          <w:p w14:paraId="1A0165EE" w14:textId="77777777" w:rsidR="00CC7F45" w:rsidRPr="00CC7F45" w:rsidRDefault="00CC7F45" w:rsidP="001B6543">
            <w:r w:rsidRPr="00CC7F45">
              <w:t>Bleed reported INR elevated from 2.4 to 6.9</w:t>
            </w:r>
          </w:p>
        </w:tc>
      </w:tr>
      <w:tr w:rsidR="00CC7F45" w:rsidRPr="00CC7F45" w14:paraId="1A6DAB41" w14:textId="77777777" w:rsidTr="001B6543">
        <w:tc>
          <w:tcPr>
            <w:tcW w:w="988" w:type="dxa"/>
          </w:tcPr>
          <w:p w14:paraId="76961D3B" w14:textId="77777777" w:rsidR="00CC7F45" w:rsidRPr="00CC7F45" w:rsidRDefault="00CC7F45" w:rsidP="001B6543">
            <w:r w:rsidRPr="00CC7F45">
              <w:t>119413</w:t>
            </w:r>
          </w:p>
        </w:tc>
        <w:tc>
          <w:tcPr>
            <w:tcW w:w="1059" w:type="dxa"/>
          </w:tcPr>
          <w:p w14:paraId="77EC5BD6" w14:textId="77777777" w:rsidR="00CC7F45" w:rsidRPr="00CC7F45" w:rsidRDefault="00CC7F45" w:rsidP="001B6543">
            <w:r w:rsidRPr="00CC7F45">
              <w:t>Jan 16</w:t>
            </w:r>
          </w:p>
        </w:tc>
        <w:tc>
          <w:tcPr>
            <w:tcW w:w="986" w:type="dxa"/>
          </w:tcPr>
          <w:p w14:paraId="418C273D" w14:textId="77777777" w:rsidR="00CC7F45" w:rsidRPr="00CC7F45" w:rsidRDefault="00CC7F45" w:rsidP="001B6543">
            <w:r w:rsidRPr="00CC7F45">
              <w:t>88/M</w:t>
            </w:r>
          </w:p>
        </w:tc>
        <w:tc>
          <w:tcPr>
            <w:tcW w:w="3341" w:type="dxa"/>
          </w:tcPr>
          <w:p w14:paraId="38CA2ACC" w14:textId="77777777" w:rsidR="00CC7F45" w:rsidRPr="00CC7F45" w:rsidRDefault="00CC7F45" w:rsidP="001B6543">
            <w:r w:rsidRPr="00CC7F45">
              <w:t>Oral gel</w:t>
            </w:r>
          </w:p>
        </w:tc>
        <w:tc>
          <w:tcPr>
            <w:tcW w:w="2827" w:type="dxa"/>
          </w:tcPr>
          <w:p w14:paraId="3ED8B392" w14:textId="77777777" w:rsidR="00CC7F45" w:rsidRPr="00CC7F45" w:rsidRDefault="00CC7F45" w:rsidP="001B6543">
            <w:r w:rsidRPr="00CC7F45">
              <w:t>No bleed reported. Used Decozol for 2 weeks INR &gt;10</w:t>
            </w:r>
          </w:p>
        </w:tc>
      </w:tr>
      <w:tr w:rsidR="00CC7F45" w:rsidRPr="00CC7F45" w14:paraId="44C868C6" w14:textId="77777777" w:rsidTr="001B6543">
        <w:tc>
          <w:tcPr>
            <w:tcW w:w="988" w:type="dxa"/>
          </w:tcPr>
          <w:p w14:paraId="7C4F8D77" w14:textId="77777777" w:rsidR="00CC7F45" w:rsidRPr="00CC7F45" w:rsidRDefault="00CC7F45" w:rsidP="001B6543">
            <w:r w:rsidRPr="00CC7F45">
              <w:t>120848</w:t>
            </w:r>
          </w:p>
        </w:tc>
        <w:tc>
          <w:tcPr>
            <w:tcW w:w="1059" w:type="dxa"/>
          </w:tcPr>
          <w:p w14:paraId="12F2F88F" w14:textId="77777777" w:rsidR="00CC7F45" w:rsidRPr="00CC7F45" w:rsidRDefault="00CC7F45" w:rsidP="001B6543">
            <w:r w:rsidRPr="00CC7F45">
              <w:t>May 16</w:t>
            </w:r>
          </w:p>
        </w:tc>
        <w:tc>
          <w:tcPr>
            <w:tcW w:w="986" w:type="dxa"/>
          </w:tcPr>
          <w:p w14:paraId="0E362FD6" w14:textId="77777777" w:rsidR="00CC7F45" w:rsidRPr="00CC7F45" w:rsidRDefault="00CC7F45" w:rsidP="001B6543">
            <w:r w:rsidRPr="00CC7F45">
              <w:t>67/M</w:t>
            </w:r>
          </w:p>
        </w:tc>
        <w:tc>
          <w:tcPr>
            <w:tcW w:w="3341" w:type="dxa"/>
          </w:tcPr>
          <w:p w14:paraId="4FD5ECD3" w14:textId="77777777" w:rsidR="00CC7F45" w:rsidRPr="00CC7F45" w:rsidRDefault="00CC7F45" w:rsidP="001B6543">
            <w:r w:rsidRPr="00CC7F45">
              <w:t>Oral gel</w:t>
            </w:r>
          </w:p>
        </w:tc>
        <w:tc>
          <w:tcPr>
            <w:tcW w:w="2827" w:type="dxa"/>
          </w:tcPr>
          <w:p w14:paraId="5CEB2A73" w14:textId="77777777" w:rsidR="00CC7F45" w:rsidRPr="00CC7F45" w:rsidRDefault="00CC7F45" w:rsidP="001B6543">
            <w:r w:rsidRPr="00CC7F45">
              <w:t>No bleed reported. INR reported as very high returned to normal after stopping miconazole</w:t>
            </w:r>
          </w:p>
        </w:tc>
      </w:tr>
      <w:tr w:rsidR="00CC7F45" w:rsidRPr="00CC7F45" w14:paraId="3139DA0C" w14:textId="77777777" w:rsidTr="001B6543">
        <w:tc>
          <w:tcPr>
            <w:tcW w:w="988" w:type="dxa"/>
          </w:tcPr>
          <w:p w14:paraId="57685C74" w14:textId="77777777" w:rsidR="00CC7F45" w:rsidRPr="00CC7F45" w:rsidRDefault="00CC7F45" w:rsidP="001B6543">
            <w:r w:rsidRPr="00CC7F45">
              <w:t>120847</w:t>
            </w:r>
          </w:p>
        </w:tc>
        <w:tc>
          <w:tcPr>
            <w:tcW w:w="1059" w:type="dxa"/>
          </w:tcPr>
          <w:p w14:paraId="59AFB6E4" w14:textId="77777777" w:rsidR="00CC7F45" w:rsidRPr="00CC7F45" w:rsidRDefault="00CC7F45" w:rsidP="001B6543">
            <w:r w:rsidRPr="00CC7F45">
              <w:t>May 16</w:t>
            </w:r>
          </w:p>
        </w:tc>
        <w:tc>
          <w:tcPr>
            <w:tcW w:w="986" w:type="dxa"/>
          </w:tcPr>
          <w:p w14:paraId="4508201F" w14:textId="77777777" w:rsidR="00CC7F45" w:rsidRPr="00CC7F45" w:rsidRDefault="00CC7F45" w:rsidP="001B6543">
            <w:r w:rsidRPr="00CC7F45">
              <w:t>85/M</w:t>
            </w:r>
          </w:p>
        </w:tc>
        <w:tc>
          <w:tcPr>
            <w:tcW w:w="3341" w:type="dxa"/>
          </w:tcPr>
          <w:p w14:paraId="63C51030" w14:textId="77777777" w:rsidR="00CC7F45" w:rsidRPr="00CC7F45" w:rsidRDefault="00CC7F45" w:rsidP="001B6543">
            <w:r w:rsidRPr="00CC7F45">
              <w:t>Cream, omega 3, garlic</w:t>
            </w:r>
          </w:p>
        </w:tc>
        <w:tc>
          <w:tcPr>
            <w:tcW w:w="2827" w:type="dxa"/>
          </w:tcPr>
          <w:p w14:paraId="1A0AF3DB" w14:textId="7934BCEF" w:rsidR="00CC7F45" w:rsidRPr="00CC7F45" w:rsidRDefault="00CC7F45" w:rsidP="001B6543">
            <w:r w:rsidRPr="00CC7F45">
              <w:t>No bleed reported.  Used cream 3-4 times</w:t>
            </w:r>
            <w:r w:rsidR="000107A1">
              <w:t>,</w:t>
            </w:r>
            <w:r w:rsidRPr="00CC7F45">
              <w:t xml:space="preserve"> INR 6.6</w:t>
            </w:r>
            <w:r w:rsidR="000107A1">
              <w:t>,</w:t>
            </w:r>
            <w:r w:rsidRPr="00CC7F45">
              <w:t xml:space="preserve"> no other changes to medicines</w:t>
            </w:r>
          </w:p>
        </w:tc>
      </w:tr>
    </w:tbl>
    <w:p w14:paraId="136ECEC3" w14:textId="77777777" w:rsidR="001B6543" w:rsidRDefault="004F0786" w:rsidP="00494154">
      <w:pPr>
        <w:pStyle w:val="Heading2"/>
      </w:pPr>
      <w:bookmarkStart w:id="9" w:name="_Toc474408883"/>
      <w:r>
        <w:t>Information published</w:t>
      </w:r>
      <w:r w:rsidR="00494154">
        <w:t xml:space="preserve"> by other Regulators</w:t>
      </w:r>
      <w:bookmarkEnd w:id="9"/>
    </w:p>
    <w:p w14:paraId="1CFEBE7F" w14:textId="77777777" w:rsidR="00494154" w:rsidRDefault="00494154" w:rsidP="00494154">
      <w:pPr>
        <w:pStyle w:val="Heading3"/>
      </w:pPr>
      <w:bookmarkStart w:id="10" w:name="_Toc474408884"/>
      <w:r>
        <w:t>MHRA</w:t>
      </w:r>
      <w:bookmarkEnd w:id="10"/>
    </w:p>
    <w:p w14:paraId="73DED5B1" w14:textId="77777777" w:rsidR="00494154" w:rsidRPr="00494154" w:rsidRDefault="00494154" w:rsidP="00494154">
      <w:pPr>
        <w:rPr>
          <w:lang w:val="en-AU"/>
        </w:rPr>
      </w:pPr>
      <w:r w:rsidRPr="00494154">
        <w:rPr>
          <w:lang w:val="en-AU"/>
        </w:rPr>
        <w:t>Up to 13 April 2016, the MHRA had received 146 Yellow Cards that report possible drug interactions between miconazole and warfarin. Most reports (128, 88%) concerned the oral gel form of miconazole.</w:t>
      </w:r>
    </w:p>
    <w:p w14:paraId="46B8D30C" w14:textId="77777777" w:rsidR="00494154" w:rsidRDefault="00494154" w:rsidP="00494154">
      <w:pPr>
        <w:rPr>
          <w:lang w:val="en-AU"/>
        </w:rPr>
      </w:pPr>
      <w:r w:rsidRPr="00494154">
        <w:rPr>
          <w:lang w:val="en-AU"/>
        </w:rPr>
        <w:t>The most frequently reported events were: increased international normalised ratio (INR, 111 reports); contusion (21); haematuria (17); and epistaxis (8). Approximately half of the 146 cases reported an INR increase above 10—ie, the patient was at significantly increased risk of bleeding events (noting that the target INR range for a patient on long-term warfarin therapy is usually between 2 and 3). In 3 cases, a fatal outcome was reported as a result of a haemorrhagic event.</w:t>
      </w:r>
    </w:p>
    <w:p w14:paraId="3B8554FE" w14:textId="77777777" w:rsidR="00494154" w:rsidRDefault="00494154" w:rsidP="00494154">
      <w:pPr>
        <w:pStyle w:val="Heading3"/>
      </w:pPr>
      <w:bookmarkStart w:id="11" w:name="_Toc474408885"/>
      <w:r>
        <w:t>Health Canada</w:t>
      </w:r>
      <w:bookmarkEnd w:id="11"/>
    </w:p>
    <w:p w14:paraId="051A61C1" w14:textId="77777777" w:rsidR="00494154" w:rsidRPr="00494154" w:rsidRDefault="00494154" w:rsidP="00494154">
      <w:pPr>
        <w:rPr>
          <w:lang w:val="en-AU"/>
        </w:rPr>
      </w:pPr>
      <w:r>
        <w:rPr>
          <w:lang w:val="en-AU"/>
        </w:rPr>
        <w:t>In 2001 t</w:t>
      </w:r>
      <w:r w:rsidRPr="00494154">
        <w:rPr>
          <w:lang w:val="en-AU"/>
        </w:rPr>
        <w:t>he agency reported 2 relevant case reports.</w:t>
      </w:r>
    </w:p>
    <w:p w14:paraId="6024D58B" w14:textId="77777777" w:rsidR="00494154" w:rsidRPr="00494154" w:rsidRDefault="00494154" w:rsidP="00494154">
      <w:pPr>
        <w:rPr>
          <w:lang w:val="en-AU"/>
        </w:rPr>
      </w:pPr>
      <w:r w:rsidRPr="00494154">
        <w:rPr>
          <w:lang w:val="en-AU"/>
        </w:rPr>
        <w:t>52/F presented with right sided renal haemorrhage 12 days after starting vaginal miconazole.</w:t>
      </w:r>
    </w:p>
    <w:p w14:paraId="00212AB0" w14:textId="77777777" w:rsidR="00494154" w:rsidRPr="00494154" w:rsidRDefault="00494154" w:rsidP="00494154">
      <w:pPr>
        <w:rPr>
          <w:lang w:val="en-AU"/>
        </w:rPr>
      </w:pPr>
      <w:r w:rsidRPr="00494154">
        <w:rPr>
          <w:lang w:val="en-AU"/>
        </w:rPr>
        <w:t>80/M had a CVA while using topical miconazole and warfarin, however the concurrent medicines and conditions made it impossible to establish causality.</w:t>
      </w:r>
    </w:p>
    <w:p w14:paraId="136F58B7" w14:textId="77410C3D" w:rsidR="00494154" w:rsidRDefault="00494154" w:rsidP="00494154">
      <w:pPr>
        <w:rPr>
          <w:lang w:val="en-AU"/>
        </w:rPr>
      </w:pPr>
      <w:r w:rsidRPr="00494154">
        <w:rPr>
          <w:lang w:val="en-AU"/>
        </w:rPr>
        <w:t>Sponsors of miconazole</w:t>
      </w:r>
      <w:r w:rsidR="000107A1">
        <w:rPr>
          <w:lang w:val="en-AU"/>
        </w:rPr>
        <w:t>-</w:t>
      </w:r>
      <w:r w:rsidRPr="00494154">
        <w:rPr>
          <w:lang w:val="en-AU"/>
        </w:rPr>
        <w:t>containing vaginal products were asked to update labelling, monograph and prescribing information.</w:t>
      </w:r>
    </w:p>
    <w:p w14:paraId="31AB0F7E" w14:textId="77777777" w:rsidR="00494154" w:rsidRDefault="00494154" w:rsidP="00494154">
      <w:pPr>
        <w:pStyle w:val="Heading3"/>
      </w:pPr>
      <w:bookmarkStart w:id="12" w:name="_Toc474408886"/>
      <w:r>
        <w:t>FDA</w:t>
      </w:r>
      <w:bookmarkEnd w:id="12"/>
    </w:p>
    <w:p w14:paraId="0A7E20A9" w14:textId="77777777" w:rsidR="00494154" w:rsidRPr="00494154" w:rsidRDefault="00494154" w:rsidP="00494154">
      <w:pPr>
        <w:rPr>
          <w:lang w:val="en-AU"/>
        </w:rPr>
      </w:pPr>
      <w:r>
        <w:rPr>
          <w:lang w:val="en-AU"/>
        </w:rPr>
        <w:t>In 2001 t</w:t>
      </w:r>
      <w:r w:rsidRPr="00494154">
        <w:rPr>
          <w:lang w:val="en-AU"/>
        </w:rPr>
        <w:t>he FDA had received 2 reports of an interaction between warfarin and intravaginal miconazole resulting in abnormal blood clotting tests in both cases and bruising, bleeding gums and nose bleed in one case.</w:t>
      </w:r>
    </w:p>
    <w:p w14:paraId="0D0B27CD" w14:textId="77777777" w:rsidR="005A255A" w:rsidRDefault="005A255A">
      <w:pPr>
        <w:rPr>
          <w:rFonts w:asciiTheme="majorHAnsi" w:eastAsiaTheme="majorEastAsia" w:hAnsiTheme="majorHAnsi" w:cstheme="majorBidi"/>
          <w:b/>
          <w:bCs/>
          <w:color w:val="002060"/>
          <w:sz w:val="28"/>
          <w:szCs w:val="28"/>
          <w:lang w:val="en-GB"/>
        </w:rPr>
      </w:pPr>
      <w:r>
        <w:br w:type="page"/>
      </w:r>
    </w:p>
    <w:p w14:paraId="23B7AED1" w14:textId="41D7C0C5" w:rsidR="001B6543" w:rsidRDefault="001B6543" w:rsidP="001B6543">
      <w:pPr>
        <w:pStyle w:val="Heading1"/>
      </w:pPr>
      <w:bookmarkStart w:id="13" w:name="_Toc474408887"/>
      <w:r>
        <w:lastRenderedPageBreak/>
        <w:t>Harmonisation with Australian required statements</w:t>
      </w:r>
      <w:bookmarkEnd w:id="13"/>
    </w:p>
    <w:p w14:paraId="58BA3CF9" w14:textId="77777777" w:rsidR="001B6543" w:rsidRDefault="00393A7C" w:rsidP="001B6543">
      <w:pPr>
        <w:rPr>
          <w:lang w:val="en-GB"/>
        </w:rPr>
      </w:pPr>
      <w:r>
        <w:rPr>
          <w:lang w:val="en-GB"/>
        </w:rPr>
        <w:t>The required advisory statements for medicine labels (</w:t>
      </w:r>
      <w:r w:rsidR="00101DB0">
        <w:rPr>
          <w:lang w:val="en-GB"/>
        </w:rPr>
        <w:t>RASML</w:t>
      </w:r>
      <w:r>
        <w:rPr>
          <w:lang w:val="en-GB"/>
        </w:rPr>
        <w:t>) is the Australian equivalent to the Label Statements Database. T</w:t>
      </w:r>
      <w:r w:rsidR="00101DB0">
        <w:rPr>
          <w:lang w:val="en-GB"/>
        </w:rPr>
        <w:t>he following statements for miconazole preparations for vaginal use</w:t>
      </w:r>
      <w:r>
        <w:rPr>
          <w:lang w:val="en-GB"/>
        </w:rPr>
        <w:t xml:space="preserve"> are required</w:t>
      </w:r>
      <w:r w:rsidR="00101DB0">
        <w:rPr>
          <w:lang w:val="en-GB"/>
        </w:rPr>
        <w:t>.</w:t>
      </w:r>
    </w:p>
    <w:p w14:paraId="7BC20D5F" w14:textId="77777777" w:rsidR="00101DB0" w:rsidRDefault="00101DB0" w:rsidP="009B26E2">
      <w:pPr>
        <w:pStyle w:val="ListParagraph"/>
        <w:numPr>
          <w:ilvl w:val="0"/>
          <w:numId w:val="5"/>
        </w:numPr>
        <w:rPr>
          <w:lang w:val="en-GB"/>
        </w:rPr>
      </w:pPr>
      <w:r w:rsidRPr="00101DB0">
        <w:rPr>
          <w:lang w:val="en-GB"/>
        </w:rPr>
        <w:t>See a doctor if you are pregnant or diabetic.</w:t>
      </w:r>
    </w:p>
    <w:p w14:paraId="5E87EB73" w14:textId="77777777" w:rsidR="00101DB0" w:rsidRDefault="00101DB0" w:rsidP="009B26E2">
      <w:pPr>
        <w:pStyle w:val="ListParagraph"/>
        <w:numPr>
          <w:ilvl w:val="0"/>
          <w:numId w:val="5"/>
        </w:numPr>
        <w:rPr>
          <w:lang w:val="en-GB"/>
        </w:rPr>
      </w:pPr>
      <w:r w:rsidRPr="00101DB0">
        <w:rPr>
          <w:lang w:val="en-GB"/>
        </w:rPr>
        <w:t>Seek medical advice before first course of treatment.</w:t>
      </w:r>
    </w:p>
    <w:p w14:paraId="1F607106" w14:textId="77777777" w:rsidR="00101DB0" w:rsidRDefault="00101DB0" w:rsidP="009B26E2">
      <w:pPr>
        <w:pStyle w:val="ListParagraph"/>
        <w:numPr>
          <w:ilvl w:val="0"/>
          <w:numId w:val="5"/>
        </w:numPr>
        <w:rPr>
          <w:lang w:val="en-GB"/>
        </w:rPr>
      </w:pPr>
      <w:r w:rsidRPr="00101DB0">
        <w:rPr>
          <w:lang w:val="en-GB"/>
        </w:rPr>
        <w:t>See a doctor if problem returns.</w:t>
      </w:r>
    </w:p>
    <w:p w14:paraId="51DCA947" w14:textId="77777777" w:rsidR="00101DB0" w:rsidRDefault="00101DB0" w:rsidP="009B26E2">
      <w:pPr>
        <w:pStyle w:val="ListParagraph"/>
        <w:numPr>
          <w:ilvl w:val="0"/>
          <w:numId w:val="5"/>
        </w:numPr>
        <w:rPr>
          <w:lang w:val="en-GB"/>
        </w:rPr>
      </w:pPr>
      <w:r w:rsidRPr="00101DB0">
        <w:rPr>
          <w:lang w:val="en-GB"/>
        </w:rPr>
        <w:t>See a doctor if no better after [</w:t>
      </w:r>
      <w:r w:rsidRPr="00101DB0">
        <w:rPr>
          <w:i/>
          <w:lang w:val="en-GB"/>
        </w:rPr>
        <w:t>Insert number of days as per approved Product Information</w:t>
      </w:r>
      <w:r w:rsidRPr="00101DB0">
        <w:rPr>
          <w:lang w:val="en-GB"/>
        </w:rPr>
        <w:t>] days. </w:t>
      </w:r>
    </w:p>
    <w:p w14:paraId="1956E82E" w14:textId="42224757" w:rsidR="00101DB0" w:rsidRDefault="00101DB0" w:rsidP="00101DB0">
      <w:pPr>
        <w:rPr>
          <w:lang w:val="en-GB"/>
        </w:rPr>
      </w:pPr>
      <w:r>
        <w:rPr>
          <w:lang w:val="en-GB"/>
        </w:rPr>
        <w:t xml:space="preserve">No mandatory label warning for warfarin interactions is required. However, the Australian regulatory guidelines for </w:t>
      </w:r>
      <w:r w:rsidR="00E73DF8">
        <w:rPr>
          <w:lang w:val="en-GB"/>
        </w:rPr>
        <w:t>over the counter (</w:t>
      </w:r>
      <w:r>
        <w:rPr>
          <w:lang w:val="en-GB"/>
        </w:rPr>
        <w:t>OTC</w:t>
      </w:r>
      <w:r w:rsidR="00E73DF8">
        <w:rPr>
          <w:lang w:val="en-GB"/>
        </w:rPr>
        <w:t>)</w:t>
      </w:r>
      <w:r>
        <w:rPr>
          <w:lang w:val="en-GB"/>
        </w:rPr>
        <w:t xml:space="preserve"> medicines (ARGOM) Appendix 5 </w:t>
      </w:r>
      <w:r w:rsidR="00442CFA">
        <w:rPr>
          <w:lang w:val="en-GB"/>
        </w:rPr>
        <w:t xml:space="preserve">sets clear expectations for informing consumers of warfarin interactions </w:t>
      </w:r>
      <w:r>
        <w:rPr>
          <w:lang w:val="en-GB"/>
        </w:rPr>
        <w:t>for products</w:t>
      </w:r>
      <w:r w:rsidR="00764B55">
        <w:rPr>
          <w:lang w:val="en-GB"/>
        </w:rPr>
        <w:t xml:space="preserve"> for topical oral mucosal application containing miconazole</w:t>
      </w:r>
      <w:r w:rsidR="00E73DF8">
        <w:rPr>
          <w:lang w:val="en-GB"/>
        </w:rPr>
        <w:t>:</w:t>
      </w:r>
    </w:p>
    <w:p w14:paraId="3615E8F4" w14:textId="77777777" w:rsidR="00764B55" w:rsidRPr="00764B55" w:rsidRDefault="00764B55" w:rsidP="00764B55">
      <w:pPr>
        <w:rPr>
          <w:lang w:val="en-GB"/>
        </w:rPr>
      </w:pPr>
      <w:r w:rsidRPr="00764B55">
        <w:rPr>
          <w:lang w:val="en-GB"/>
        </w:rPr>
        <w:t>Some azole antifungal agents (miconazole and fluconazole, in particular) may increase international normalised ratio (INR, a measure of blood clotting) levels in patients who are taking warfarin or other anticoagulants [due to inhibition of Cytochrome P450 2C9 (CYP2C9), which metabolises (S)-warfarin)].</w:t>
      </w:r>
    </w:p>
    <w:p w14:paraId="0196B3FB" w14:textId="206119DA" w:rsidR="00764B55" w:rsidRPr="00764B55" w:rsidRDefault="00764B55" w:rsidP="00764B55">
      <w:pPr>
        <w:rPr>
          <w:lang w:val="en-GB"/>
        </w:rPr>
      </w:pPr>
      <w:r w:rsidRPr="00764B55">
        <w:rPr>
          <w:lang w:val="en-GB"/>
        </w:rPr>
        <w:t xml:space="preserve">The </w:t>
      </w:r>
      <w:r w:rsidR="000107A1">
        <w:rPr>
          <w:lang w:val="en-GB"/>
        </w:rPr>
        <w:t>product information</w:t>
      </w:r>
      <w:r w:rsidRPr="00764B55">
        <w:rPr>
          <w:lang w:val="en-GB"/>
        </w:rPr>
        <w:t xml:space="preserve"> for OTC topical products for oral mucosal application containing miconazole should state that miconazole has been shown to increase INR levels in patients taking warfarin, as inhibition of CYP2C9 by miconazole reduces the metabolism of warfarin. Therefore, these patients may be at risk of increased bleeding or bruising. Consistent information should be included in the CMI for these products.</w:t>
      </w:r>
    </w:p>
    <w:p w14:paraId="0530C444" w14:textId="63D2629A" w:rsidR="00393A7C" w:rsidRDefault="00764B55">
      <w:pPr>
        <w:rPr>
          <w:rFonts w:asciiTheme="majorHAnsi" w:eastAsiaTheme="majorEastAsia" w:hAnsiTheme="majorHAnsi" w:cstheme="majorBidi"/>
          <w:b/>
          <w:bCs/>
          <w:color w:val="002060"/>
          <w:sz w:val="28"/>
          <w:szCs w:val="28"/>
          <w:lang w:val="en-GB"/>
        </w:rPr>
      </w:pPr>
      <w:r w:rsidRPr="00764B55">
        <w:rPr>
          <w:lang w:val="en-GB"/>
        </w:rPr>
        <w:t>The labels or package inserts of OTC topical products for oral mucosal application containing miconazole should include a statement advising people who are taking warfarin or other anticoagulants to ask their doctor or pharmacist before using the product, because bleeding or bruising may occur.</w:t>
      </w:r>
      <w:r w:rsidR="00393A7C">
        <w:br w:type="page"/>
      </w:r>
    </w:p>
    <w:p w14:paraId="3AE61F8F" w14:textId="77777777" w:rsidR="001B6543" w:rsidRDefault="001B6543" w:rsidP="001B6543">
      <w:pPr>
        <w:pStyle w:val="Heading1"/>
      </w:pPr>
      <w:bookmarkStart w:id="14" w:name="_Toc474408888"/>
      <w:r>
        <w:lastRenderedPageBreak/>
        <w:t>Products Affected</w:t>
      </w:r>
      <w:bookmarkEnd w:id="14"/>
    </w:p>
    <w:p w14:paraId="295591A5" w14:textId="6ECDFE92" w:rsidR="001B6543" w:rsidRDefault="00101DB0" w:rsidP="00101DB0">
      <w:pPr>
        <w:pStyle w:val="Caption"/>
        <w:spacing w:after="0"/>
        <w:rPr>
          <w:lang w:val="en-GB"/>
        </w:rPr>
      </w:pPr>
      <w:r>
        <w:t xml:space="preserve">Table </w:t>
      </w:r>
      <w:r w:rsidR="00206404">
        <w:fldChar w:fldCharType="begin"/>
      </w:r>
      <w:r w:rsidR="00206404">
        <w:instrText xml:space="preserve"> SEQ Table \* ARABIC </w:instrText>
      </w:r>
      <w:r w:rsidR="00206404">
        <w:fldChar w:fldCharType="separate"/>
      </w:r>
      <w:r>
        <w:rPr>
          <w:noProof/>
        </w:rPr>
        <w:t>3</w:t>
      </w:r>
      <w:r w:rsidR="00206404">
        <w:rPr>
          <w:noProof/>
        </w:rPr>
        <w:fldChar w:fldCharType="end"/>
      </w:r>
      <w:r w:rsidR="000107A1">
        <w:t>: Miconazole-</w:t>
      </w:r>
      <w:r>
        <w:t>containing medicines available without prescription</w:t>
      </w:r>
    </w:p>
    <w:tbl>
      <w:tblPr>
        <w:tblStyle w:val="TableGrid"/>
        <w:tblW w:w="9035" w:type="dxa"/>
        <w:tblLook w:val="04A0" w:firstRow="1" w:lastRow="0" w:firstColumn="1" w:lastColumn="0" w:noHBand="0" w:noVBand="1"/>
      </w:tblPr>
      <w:tblGrid>
        <w:gridCol w:w="1522"/>
        <w:gridCol w:w="2089"/>
        <w:gridCol w:w="2196"/>
        <w:gridCol w:w="1518"/>
        <w:gridCol w:w="1710"/>
      </w:tblGrid>
      <w:tr w:rsidR="001B6543" w:rsidRPr="001B6543" w14:paraId="6B04656D" w14:textId="77777777" w:rsidTr="005A255A">
        <w:tc>
          <w:tcPr>
            <w:tcW w:w="1522" w:type="dxa"/>
          </w:tcPr>
          <w:p w14:paraId="52C13D42" w14:textId="77777777" w:rsidR="001B6543" w:rsidRPr="001B6543" w:rsidRDefault="001B6543" w:rsidP="001B6543">
            <w:pPr>
              <w:rPr>
                <w:b/>
              </w:rPr>
            </w:pPr>
            <w:r w:rsidRPr="001B6543">
              <w:rPr>
                <w:b/>
              </w:rPr>
              <w:t>Brand name</w:t>
            </w:r>
          </w:p>
        </w:tc>
        <w:tc>
          <w:tcPr>
            <w:tcW w:w="2089" w:type="dxa"/>
          </w:tcPr>
          <w:p w14:paraId="5A57F068" w14:textId="3817A30E" w:rsidR="001B6543" w:rsidRPr="001B6543" w:rsidRDefault="00442CFA" w:rsidP="001B6543">
            <w:pPr>
              <w:rPr>
                <w:b/>
              </w:rPr>
            </w:pPr>
            <w:r>
              <w:rPr>
                <w:b/>
              </w:rPr>
              <w:t>Dose form and strength</w:t>
            </w:r>
          </w:p>
        </w:tc>
        <w:tc>
          <w:tcPr>
            <w:tcW w:w="2196" w:type="dxa"/>
          </w:tcPr>
          <w:p w14:paraId="7AAEA10A" w14:textId="77777777" w:rsidR="001B6543" w:rsidRPr="001B6543" w:rsidRDefault="001B6543" w:rsidP="001B6543">
            <w:pPr>
              <w:rPr>
                <w:b/>
              </w:rPr>
            </w:pPr>
            <w:r w:rsidRPr="001B6543">
              <w:rPr>
                <w:b/>
              </w:rPr>
              <w:t>Sponsor</w:t>
            </w:r>
          </w:p>
        </w:tc>
        <w:tc>
          <w:tcPr>
            <w:tcW w:w="1518" w:type="dxa"/>
          </w:tcPr>
          <w:p w14:paraId="186505FB" w14:textId="77777777" w:rsidR="001B6543" w:rsidRPr="001B6543" w:rsidRDefault="001B6543" w:rsidP="001B6543">
            <w:pPr>
              <w:rPr>
                <w:b/>
              </w:rPr>
            </w:pPr>
            <w:r w:rsidRPr="001B6543">
              <w:rPr>
                <w:b/>
              </w:rPr>
              <w:t>Classification</w:t>
            </w:r>
          </w:p>
        </w:tc>
        <w:tc>
          <w:tcPr>
            <w:tcW w:w="1710" w:type="dxa"/>
          </w:tcPr>
          <w:p w14:paraId="76A31FB5" w14:textId="702686B1" w:rsidR="001B6543" w:rsidRPr="001B6543" w:rsidRDefault="001B6543" w:rsidP="005A255A">
            <w:pPr>
              <w:rPr>
                <w:b/>
              </w:rPr>
            </w:pPr>
            <w:r w:rsidRPr="001B6543">
              <w:rPr>
                <w:b/>
              </w:rPr>
              <w:t xml:space="preserve">Data sheet </w:t>
            </w:r>
            <w:r w:rsidR="00B668E6">
              <w:rPr>
                <w:b/>
              </w:rPr>
              <w:t>/</w:t>
            </w:r>
            <w:r w:rsidR="005A255A">
              <w:rPr>
                <w:b/>
              </w:rPr>
              <w:t xml:space="preserve"> </w:t>
            </w:r>
            <w:r w:rsidR="00B668E6">
              <w:rPr>
                <w:b/>
              </w:rPr>
              <w:t xml:space="preserve">CMI </w:t>
            </w:r>
            <w:r w:rsidRPr="001B6543">
              <w:rPr>
                <w:b/>
              </w:rPr>
              <w:t>published</w:t>
            </w:r>
          </w:p>
        </w:tc>
      </w:tr>
      <w:tr w:rsidR="00B668E6" w:rsidRPr="001B6543" w14:paraId="15CB326C" w14:textId="77777777" w:rsidTr="005A255A">
        <w:tc>
          <w:tcPr>
            <w:tcW w:w="1522" w:type="dxa"/>
          </w:tcPr>
          <w:p w14:paraId="22B3FE69" w14:textId="77777777" w:rsidR="00B668E6" w:rsidRPr="001B6543" w:rsidRDefault="00B668E6" w:rsidP="001B6543">
            <w:r w:rsidRPr="001B6543">
              <w:t xml:space="preserve">Daktarin </w:t>
            </w:r>
          </w:p>
        </w:tc>
        <w:tc>
          <w:tcPr>
            <w:tcW w:w="2089" w:type="dxa"/>
          </w:tcPr>
          <w:p w14:paraId="6E33C6B4" w14:textId="77777777" w:rsidR="00B668E6" w:rsidRPr="001B6543" w:rsidRDefault="00B668E6" w:rsidP="001B6543">
            <w:r w:rsidRPr="001B6543">
              <w:t>Lotion 2%</w:t>
            </w:r>
          </w:p>
        </w:tc>
        <w:tc>
          <w:tcPr>
            <w:tcW w:w="2196" w:type="dxa"/>
            <w:vMerge w:val="restart"/>
          </w:tcPr>
          <w:p w14:paraId="799CAD08" w14:textId="77777777" w:rsidR="00B668E6" w:rsidRPr="001B6543" w:rsidRDefault="00B668E6" w:rsidP="001B6543">
            <w:r w:rsidRPr="001B6543">
              <w:t>Johnson &amp; Johnson</w:t>
            </w:r>
            <w:r>
              <w:t xml:space="preserve"> (New Zealand) Limited</w:t>
            </w:r>
          </w:p>
          <w:p w14:paraId="535AC8F2" w14:textId="2CA1D5BF" w:rsidR="00B668E6" w:rsidRPr="001B6543" w:rsidRDefault="00B668E6" w:rsidP="001B6543"/>
        </w:tc>
        <w:tc>
          <w:tcPr>
            <w:tcW w:w="1518" w:type="dxa"/>
          </w:tcPr>
          <w:p w14:paraId="5CDBD8EF" w14:textId="77777777" w:rsidR="00B668E6" w:rsidRPr="001B6543" w:rsidRDefault="00B668E6" w:rsidP="001B6543">
            <w:r w:rsidRPr="001B6543">
              <w:t>Pharmacy only</w:t>
            </w:r>
          </w:p>
        </w:tc>
        <w:tc>
          <w:tcPr>
            <w:tcW w:w="1710" w:type="dxa"/>
          </w:tcPr>
          <w:p w14:paraId="791E2DAD" w14:textId="500C5CA6" w:rsidR="00B668E6" w:rsidRPr="001B6543" w:rsidRDefault="00B668E6" w:rsidP="001B6543">
            <w:r w:rsidRPr="001B6543">
              <w:t>No</w:t>
            </w:r>
            <w:r w:rsidR="005A255A">
              <w:t xml:space="preserve"> / No</w:t>
            </w:r>
          </w:p>
        </w:tc>
      </w:tr>
      <w:tr w:rsidR="00B668E6" w:rsidRPr="001B6543" w14:paraId="0787C9C6" w14:textId="77777777" w:rsidTr="005A255A">
        <w:tc>
          <w:tcPr>
            <w:tcW w:w="1522" w:type="dxa"/>
          </w:tcPr>
          <w:p w14:paraId="2F5A145B" w14:textId="77777777" w:rsidR="00B668E6" w:rsidRPr="001B6543" w:rsidRDefault="00B668E6" w:rsidP="001B6543">
            <w:r w:rsidRPr="001B6543">
              <w:t>Daktarin</w:t>
            </w:r>
          </w:p>
        </w:tc>
        <w:tc>
          <w:tcPr>
            <w:tcW w:w="2089" w:type="dxa"/>
          </w:tcPr>
          <w:p w14:paraId="2DCBA699" w14:textId="77777777" w:rsidR="00B668E6" w:rsidRPr="001B6543" w:rsidRDefault="00B668E6" w:rsidP="001B6543">
            <w:r w:rsidRPr="001B6543">
              <w:t>Oral gel 2%</w:t>
            </w:r>
          </w:p>
        </w:tc>
        <w:tc>
          <w:tcPr>
            <w:tcW w:w="2196" w:type="dxa"/>
            <w:vMerge/>
          </w:tcPr>
          <w:p w14:paraId="78C3169E" w14:textId="70FB73F7" w:rsidR="00B668E6" w:rsidRPr="001B6543" w:rsidRDefault="00B668E6" w:rsidP="001B6543"/>
        </w:tc>
        <w:tc>
          <w:tcPr>
            <w:tcW w:w="1518" w:type="dxa"/>
          </w:tcPr>
          <w:p w14:paraId="6F479FD6" w14:textId="77777777" w:rsidR="00B668E6" w:rsidRPr="001B6543" w:rsidRDefault="00B668E6" w:rsidP="001B6543">
            <w:r w:rsidRPr="001B6543">
              <w:t>Restricted</w:t>
            </w:r>
          </w:p>
        </w:tc>
        <w:tc>
          <w:tcPr>
            <w:tcW w:w="1710" w:type="dxa"/>
          </w:tcPr>
          <w:p w14:paraId="29CBB913" w14:textId="79616C1C" w:rsidR="00B668E6" w:rsidRPr="001B6543" w:rsidRDefault="00B668E6" w:rsidP="001B6543">
            <w:r w:rsidRPr="001B6543">
              <w:t>Yes</w:t>
            </w:r>
            <w:r w:rsidR="005A255A">
              <w:t xml:space="preserve"> / No</w:t>
            </w:r>
          </w:p>
        </w:tc>
      </w:tr>
      <w:tr w:rsidR="00B668E6" w:rsidRPr="001B6543" w14:paraId="54F91C38" w14:textId="77777777" w:rsidTr="005A255A">
        <w:tc>
          <w:tcPr>
            <w:tcW w:w="1522" w:type="dxa"/>
          </w:tcPr>
          <w:p w14:paraId="7F54696C" w14:textId="77777777" w:rsidR="00B668E6" w:rsidRPr="001B6543" w:rsidRDefault="00B668E6" w:rsidP="001B6543">
            <w:r w:rsidRPr="001B6543">
              <w:t>Daktarin</w:t>
            </w:r>
          </w:p>
        </w:tc>
        <w:tc>
          <w:tcPr>
            <w:tcW w:w="2089" w:type="dxa"/>
          </w:tcPr>
          <w:p w14:paraId="645D52C9" w14:textId="77777777" w:rsidR="00B668E6" w:rsidRPr="001B6543" w:rsidRDefault="00B668E6" w:rsidP="001B6543">
            <w:r w:rsidRPr="001B6543">
              <w:t>Topical cream 2%</w:t>
            </w:r>
          </w:p>
        </w:tc>
        <w:tc>
          <w:tcPr>
            <w:tcW w:w="2196" w:type="dxa"/>
            <w:vMerge/>
          </w:tcPr>
          <w:p w14:paraId="6B3DE147" w14:textId="3804CF86" w:rsidR="00B668E6" w:rsidRPr="001B6543" w:rsidRDefault="00B668E6" w:rsidP="001B6543"/>
        </w:tc>
        <w:tc>
          <w:tcPr>
            <w:tcW w:w="1518" w:type="dxa"/>
          </w:tcPr>
          <w:p w14:paraId="3FF84F16" w14:textId="77777777" w:rsidR="00B668E6" w:rsidRPr="001B6543" w:rsidRDefault="00B668E6" w:rsidP="001B6543">
            <w:r w:rsidRPr="001B6543">
              <w:t>Pharmacy only</w:t>
            </w:r>
          </w:p>
        </w:tc>
        <w:tc>
          <w:tcPr>
            <w:tcW w:w="1710" w:type="dxa"/>
          </w:tcPr>
          <w:p w14:paraId="33FEE738" w14:textId="054B2E8A" w:rsidR="00B668E6" w:rsidRPr="001B6543" w:rsidRDefault="00B668E6" w:rsidP="001B6543">
            <w:r w:rsidRPr="001B6543">
              <w:t>No</w:t>
            </w:r>
            <w:r w:rsidR="005A255A">
              <w:t xml:space="preserve"> / No</w:t>
            </w:r>
          </w:p>
        </w:tc>
      </w:tr>
      <w:tr w:rsidR="00B668E6" w:rsidRPr="001B6543" w14:paraId="1603631E" w14:textId="77777777" w:rsidTr="005A255A">
        <w:tc>
          <w:tcPr>
            <w:tcW w:w="1522" w:type="dxa"/>
          </w:tcPr>
          <w:p w14:paraId="73BC781E" w14:textId="77777777" w:rsidR="00B668E6" w:rsidRPr="001B6543" w:rsidRDefault="00B668E6" w:rsidP="001B6543">
            <w:r w:rsidRPr="001B6543">
              <w:t>Daktarin</w:t>
            </w:r>
          </w:p>
        </w:tc>
        <w:tc>
          <w:tcPr>
            <w:tcW w:w="2089" w:type="dxa"/>
          </w:tcPr>
          <w:p w14:paraId="205906B2" w14:textId="1DE85C42" w:rsidR="00B668E6" w:rsidRPr="001B6543" w:rsidRDefault="00B668E6" w:rsidP="000107A1">
            <w:r w:rsidRPr="001B6543">
              <w:t>Topical powder 2%</w:t>
            </w:r>
            <w:r w:rsidR="000107A1">
              <w:t>,</w:t>
            </w:r>
            <w:r w:rsidRPr="001B6543">
              <w:t xml:space="preserve"> powder spray</w:t>
            </w:r>
            <w:r w:rsidR="000107A1">
              <w:t xml:space="preserve"> 2%</w:t>
            </w:r>
          </w:p>
        </w:tc>
        <w:tc>
          <w:tcPr>
            <w:tcW w:w="2196" w:type="dxa"/>
            <w:vMerge/>
          </w:tcPr>
          <w:p w14:paraId="12628E71" w14:textId="2D6A659C" w:rsidR="00B668E6" w:rsidRPr="001B6543" w:rsidRDefault="00B668E6" w:rsidP="001B6543"/>
        </w:tc>
        <w:tc>
          <w:tcPr>
            <w:tcW w:w="1518" w:type="dxa"/>
          </w:tcPr>
          <w:p w14:paraId="69FF4C3B" w14:textId="77777777" w:rsidR="00B668E6" w:rsidRPr="001B6543" w:rsidRDefault="00B668E6" w:rsidP="001B6543">
            <w:r w:rsidRPr="001B6543">
              <w:t>Pharmacy only</w:t>
            </w:r>
          </w:p>
        </w:tc>
        <w:tc>
          <w:tcPr>
            <w:tcW w:w="1710" w:type="dxa"/>
          </w:tcPr>
          <w:p w14:paraId="021C62B5" w14:textId="30451CA1" w:rsidR="00B668E6" w:rsidRPr="001B6543" w:rsidRDefault="00B668E6" w:rsidP="001B6543">
            <w:r w:rsidRPr="001B6543">
              <w:t>No</w:t>
            </w:r>
            <w:r w:rsidR="005A255A">
              <w:t xml:space="preserve"> / No</w:t>
            </w:r>
          </w:p>
        </w:tc>
      </w:tr>
      <w:tr w:rsidR="00B668E6" w:rsidRPr="001B6543" w14:paraId="6980946F" w14:textId="77777777" w:rsidTr="005A255A">
        <w:tc>
          <w:tcPr>
            <w:tcW w:w="1522" w:type="dxa"/>
          </w:tcPr>
          <w:p w14:paraId="1AFE3392" w14:textId="77777777" w:rsidR="00B668E6" w:rsidRPr="001B6543" w:rsidRDefault="00B668E6" w:rsidP="001B6543">
            <w:r w:rsidRPr="001B6543">
              <w:t>Daktarin</w:t>
            </w:r>
          </w:p>
        </w:tc>
        <w:tc>
          <w:tcPr>
            <w:tcW w:w="2089" w:type="dxa"/>
          </w:tcPr>
          <w:p w14:paraId="250D1EF7" w14:textId="77777777" w:rsidR="00B668E6" w:rsidRPr="001B6543" w:rsidRDefault="00B668E6" w:rsidP="001B6543">
            <w:r w:rsidRPr="001B6543">
              <w:t>Tincture topical solution 2%</w:t>
            </w:r>
          </w:p>
        </w:tc>
        <w:tc>
          <w:tcPr>
            <w:tcW w:w="2196" w:type="dxa"/>
            <w:vMerge/>
          </w:tcPr>
          <w:p w14:paraId="0369A2AE" w14:textId="1EC8365A" w:rsidR="00B668E6" w:rsidRPr="001B6543" w:rsidRDefault="00B668E6" w:rsidP="001B6543"/>
        </w:tc>
        <w:tc>
          <w:tcPr>
            <w:tcW w:w="1518" w:type="dxa"/>
          </w:tcPr>
          <w:p w14:paraId="0692A27D" w14:textId="77777777" w:rsidR="00B668E6" w:rsidRPr="001B6543" w:rsidRDefault="00B668E6" w:rsidP="001B6543">
            <w:r w:rsidRPr="001B6543">
              <w:t>Pharmacy only</w:t>
            </w:r>
          </w:p>
        </w:tc>
        <w:tc>
          <w:tcPr>
            <w:tcW w:w="1710" w:type="dxa"/>
          </w:tcPr>
          <w:p w14:paraId="42704E81" w14:textId="666824AD" w:rsidR="00B668E6" w:rsidRPr="001B6543" w:rsidRDefault="00B668E6" w:rsidP="001B6543">
            <w:r w:rsidRPr="001B6543">
              <w:t>No</w:t>
            </w:r>
            <w:r w:rsidR="005A255A">
              <w:t xml:space="preserve"> / No</w:t>
            </w:r>
          </w:p>
        </w:tc>
      </w:tr>
      <w:tr w:rsidR="00B668E6" w:rsidRPr="001B6543" w14:paraId="3DBBDE43" w14:textId="77777777" w:rsidTr="005A255A">
        <w:tc>
          <w:tcPr>
            <w:tcW w:w="1522" w:type="dxa"/>
          </w:tcPr>
          <w:p w14:paraId="04CB63E8" w14:textId="77777777" w:rsidR="00B668E6" w:rsidRPr="001B6543" w:rsidRDefault="00B668E6" w:rsidP="001B6543">
            <w:r w:rsidRPr="001B6543">
              <w:t>Daktozin</w:t>
            </w:r>
          </w:p>
        </w:tc>
        <w:tc>
          <w:tcPr>
            <w:tcW w:w="2089" w:type="dxa"/>
          </w:tcPr>
          <w:p w14:paraId="09C47F3F" w14:textId="76282312" w:rsidR="00B668E6" w:rsidRPr="001B6543" w:rsidRDefault="00B668E6" w:rsidP="001B6543">
            <w:r w:rsidRPr="001B6543">
              <w:t>Topical ointment (0.25%</w:t>
            </w:r>
            <w:r w:rsidR="000107A1">
              <w:t>,</w:t>
            </w:r>
            <w:r w:rsidRPr="001B6543">
              <w:t xml:space="preserve"> zinc oxide 15%)</w:t>
            </w:r>
          </w:p>
        </w:tc>
        <w:tc>
          <w:tcPr>
            <w:tcW w:w="2196" w:type="dxa"/>
            <w:vMerge/>
          </w:tcPr>
          <w:p w14:paraId="52523DB2" w14:textId="56CD7501" w:rsidR="00B668E6" w:rsidRPr="001B6543" w:rsidRDefault="00B668E6" w:rsidP="001B6543"/>
        </w:tc>
        <w:tc>
          <w:tcPr>
            <w:tcW w:w="1518" w:type="dxa"/>
          </w:tcPr>
          <w:p w14:paraId="3815BD24" w14:textId="77777777" w:rsidR="00B668E6" w:rsidRPr="001B6543" w:rsidRDefault="00B668E6" w:rsidP="001B6543">
            <w:r w:rsidRPr="001B6543">
              <w:t>Pharmacy only</w:t>
            </w:r>
          </w:p>
        </w:tc>
        <w:tc>
          <w:tcPr>
            <w:tcW w:w="1710" w:type="dxa"/>
          </w:tcPr>
          <w:p w14:paraId="3505E200" w14:textId="5B4EAFF5" w:rsidR="00B668E6" w:rsidRPr="001B6543" w:rsidRDefault="00B668E6" w:rsidP="001B6543">
            <w:r w:rsidRPr="001B6543">
              <w:t>No</w:t>
            </w:r>
            <w:r w:rsidR="000107A1">
              <w:t xml:space="preserve"> </w:t>
            </w:r>
            <w:r w:rsidR="005A255A">
              <w:t>/ No</w:t>
            </w:r>
          </w:p>
        </w:tc>
      </w:tr>
      <w:tr w:rsidR="001B6543" w:rsidRPr="001B6543" w14:paraId="77F3ABF5" w14:textId="77777777" w:rsidTr="005A255A">
        <w:tc>
          <w:tcPr>
            <w:tcW w:w="1522" w:type="dxa"/>
          </w:tcPr>
          <w:p w14:paraId="6B4A7605" w14:textId="77777777" w:rsidR="001B6543" w:rsidRPr="001B6543" w:rsidRDefault="001B6543" w:rsidP="001B6543">
            <w:r w:rsidRPr="001B6543">
              <w:t>Decozol</w:t>
            </w:r>
          </w:p>
        </w:tc>
        <w:tc>
          <w:tcPr>
            <w:tcW w:w="2089" w:type="dxa"/>
          </w:tcPr>
          <w:p w14:paraId="229E9B2C" w14:textId="77777777" w:rsidR="001B6543" w:rsidRPr="001B6543" w:rsidRDefault="001B6543" w:rsidP="001B6543">
            <w:r w:rsidRPr="001B6543">
              <w:t>Oral gel 2%</w:t>
            </w:r>
          </w:p>
        </w:tc>
        <w:tc>
          <w:tcPr>
            <w:tcW w:w="2196" w:type="dxa"/>
          </w:tcPr>
          <w:p w14:paraId="39B3BC7A" w14:textId="5791D162" w:rsidR="001B6543" w:rsidRPr="001B6543" w:rsidRDefault="001B6543" w:rsidP="001B6543">
            <w:r w:rsidRPr="001B6543">
              <w:t>AFT</w:t>
            </w:r>
            <w:r w:rsidR="00B668E6">
              <w:t xml:space="preserve"> Pharmaceuticals Ltd</w:t>
            </w:r>
          </w:p>
        </w:tc>
        <w:tc>
          <w:tcPr>
            <w:tcW w:w="1518" w:type="dxa"/>
          </w:tcPr>
          <w:p w14:paraId="3F5277D3" w14:textId="77777777" w:rsidR="001B6543" w:rsidRPr="001B6543" w:rsidRDefault="001B6543" w:rsidP="001B6543">
            <w:r w:rsidRPr="001B6543">
              <w:t>Restricted</w:t>
            </w:r>
          </w:p>
        </w:tc>
        <w:tc>
          <w:tcPr>
            <w:tcW w:w="1710" w:type="dxa"/>
          </w:tcPr>
          <w:p w14:paraId="59CBBBE2" w14:textId="1244BB24" w:rsidR="001B6543" w:rsidRPr="001B6543" w:rsidRDefault="001B6543" w:rsidP="001B6543">
            <w:r w:rsidRPr="001B6543">
              <w:t>Yes</w:t>
            </w:r>
            <w:r w:rsidR="005A255A">
              <w:t xml:space="preserve"> / No</w:t>
            </w:r>
          </w:p>
        </w:tc>
      </w:tr>
      <w:tr w:rsidR="001B6543" w:rsidRPr="001B6543" w14:paraId="5E86477F" w14:textId="77777777" w:rsidTr="005A255A">
        <w:tc>
          <w:tcPr>
            <w:tcW w:w="1522" w:type="dxa"/>
          </w:tcPr>
          <w:p w14:paraId="5A18D48E" w14:textId="77777777" w:rsidR="001B6543" w:rsidRPr="001B6543" w:rsidRDefault="001B6543" w:rsidP="001B6543">
            <w:r w:rsidRPr="001B6543">
              <w:t>Miconazole</w:t>
            </w:r>
          </w:p>
        </w:tc>
        <w:tc>
          <w:tcPr>
            <w:tcW w:w="2089" w:type="dxa"/>
          </w:tcPr>
          <w:p w14:paraId="059F43DA" w14:textId="77777777" w:rsidR="001B6543" w:rsidRPr="001B6543" w:rsidRDefault="001B6543" w:rsidP="001B6543">
            <w:r w:rsidRPr="001B6543">
              <w:t>Topical cream 2%</w:t>
            </w:r>
          </w:p>
        </w:tc>
        <w:tc>
          <w:tcPr>
            <w:tcW w:w="2196" w:type="dxa"/>
          </w:tcPr>
          <w:p w14:paraId="49FAA3C3" w14:textId="3C98E169" w:rsidR="001B6543" w:rsidRPr="001B6543" w:rsidRDefault="001B6543" w:rsidP="001B6543">
            <w:r w:rsidRPr="001B6543">
              <w:t>Multichem</w:t>
            </w:r>
            <w:r w:rsidR="005A255A">
              <w:t xml:space="preserve"> NZ Limited</w:t>
            </w:r>
          </w:p>
        </w:tc>
        <w:tc>
          <w:tcPr>
            <w:tcW w:w="1518" w:type="dxa"/>
          </w:tcPr>
          <w:p w14:paraId="2F695811" w14:textId="77777777" w:rsidR="001B6543" w:rsidRPr="001B6543" w:rsidRDefault="001B6543" w:rsidP="001B6543">
            <w:r w:rsidRPr="001B6543">
              <w:t>Pharmacy only</w:t>
            </w:r>
          </w:p>
        </w:tc>
        <w:tc>
          <w:tcPr>
            <w:tcW w:w="1710" w:type="dxa"/>
          </w:tcPr>
          <w:p w14:paraId="7764510D" w14:textId="4453F908" w:rsidR="001B6543" w:rsidRPr="001B6543" w:rsidRDefault="001B6543" w:rsidP="001B6543">
            <w:r w:rsidRPr="001B6543">
              <w:t>No</w:t>
            </w:r>
            <w:r w:rsidR="005A255A">
              <w:t xml:space="preserve"> / No</w:t>
            </w:r>
          </w:p>
        </w:tc>
      </w:tr>
      <w:tr w:rsidR="00B668E6" w:rsidRPr="001B6543" w14:paraId="52FD86F1" w14:textId="77777777" w:rsidTr="005A255A">
        <w:tc>
          <w:tcPr>
            <w:tcW w:w="1522" w:type="dxa"/>
          </w:tcPr>
          <w:p w14:paraId="6071C301" w14:textId="77777777" w:rsidR="00B668E6" w:rsidRPr="001B6543" w:rsidRDefault="00B668E6" w:rsidP="001B6543">
            <w:r w:rsidRPr="001B6543">
              <w:t>Micreme</w:t>
            </w:r>
          </w:p>
        </w:tc>
        <w:tc>
          <w:tcPr>
            <w:tcW w:w="2089" w:type="dxa"/>
          </w:tcPr>
          <w:p w14:paraId="0752DE79" w14:textId="77777777" w:rsidR="00B668E6" w:rsidRPr="001B6543" w:rsidRDefault="00B668E6" w:rsidP="001B6543">
            <w:r w:rsidRPr="001B6543">
              <w:t>Topical cream 2%</w:t>
            </w:r>
          </w:p>
        </w:tc>
        <w:tc>
          <w:tcPr>
            <w:tcW w:w="2196" w:type="dxa"/>
            <w:vMerge w:val="restart"/>
          </w:tcPr>
          <w:p w14:paraId="33743E76" w14:textId="77777777" w:rsidR="00B668E6" w:rsidRPr="001B6543" w:rsidRDefault="00B668E6" w:rsidP="001B6543">
            <w:r w:rsidRPr="001B6543">
              <w:t>Mylan</w:t>
            </w:r>
            <w:r>
              <w:t xml:space="preserve"> New Zealand Ltd</w:t>
            </w:r>
          </w:p>
          <w:p w14:paraId="112D8B05" w14:textId="195B5A46" w:rsidR="00B668E6" w:rsidRPr="001B6543" w:rsidRDefault="00B668E6" w:rsidP="001B6543"/>
        </w:tc>
        <w:tc>
          <w:tcPr>
            <w:tcW w:w="1518" w:type="dxa"/>
          </w:tcPr>
          <w:p w14:paraId="1B3B0819" w14:textId="77777777" w:rsidR="00B668E6" w:rsidRPr="001B6543" w:rsidRDefault="00B668E6" w:rsidP="001B6543">
            <w:r w:rsidRPr="001B6543">
              <w:t>Pharmacy only</w:t>
            </w:r>
          </w:p>
        </w:tc>
        <w:tc>
          <w:tcPr>
            <w:tcW w:w="1710" w:type="dxa"/>
          </w:tcPr>
          <w:p w14:paraId="42B27349" w14:textId="64858F3B" w:rsidR="00B668E6" w:rsidRPr="001B6543" w:rsidRDefault="00B668E6" w:rsidP="001B6543">
            <w:r w:rsidRPr="001B6543">
              <w:t>No</w:t>
            </w:r>
            <w:r w:rsidR="005A255A">
              <w:t xml:space="preserve"> / No</w:t>
            </w:r>
          </w:p>
        </w:tc>
      </w:tr>
      <w:tr w:rsidR="00B668E6" w:rsidRPr="001B6543" w14:paraId="4D38A4C3" w14:textId="77777777" w:rsidTr="005A255A">
        <w:tc>
          <w:tcPr>
            <w:tcW w:w="1522" w:type="dxa"/>
          </w:tcPr>
          <w:p w14:paraId="632EBA11" w14:textId="77777777" w:rsidR="00B668E6" w:rsidRPr="001B6543" w:rsidRDefault="00B668E6" w:rsidP="001B6543">
            <w:r w:rsidRPr="001B6543">
              <w:t>Micreme</w:t>
            </w:r>
          </w:p>
        </w:tc>
        <w:tc>
          <w:tcPr>
            <w:tcW w:w="2089" w:type="dxa"/>
          </w:tcPr>
          <w:p w14:paraId="12A51B4F" w14:textId="77777777" w:rsidR="00B668E6" w:rsidRPr="001B6543" w:rsidRDefault="00B668E6" w:rsidP="001B6543">
            <w:r w:rsidRPr="001B6543">
              <w:t>Vaginal cream 2%</w:t>
            </w:r>
          </w:p>
        </w:tc>
        <w:tc>
          <w:tcPr>
            <w:tcW w:w="2196" w:type="dxa"/>
            <w:vMerge/>
          </w:tcPr>
          <w:p w14:paraId="63156636" w14:textId="6029822F" w:rsidR="00B668E6" w:rsidRPr="001B6543" w:rsidRDefault="00B668E6" w:rsidP="001B6543"/>
        </w:tc>
        <w:tc>
          <w:tcPr>
            <w:tcW w:w="1518" w:type="dxa"/>
          </w:tcPr>
          <w:p w14:paraId="46FF0E84" w14:textId="77777777" w:rsidR="00B668E6" w:rsidRPr="001B6543" w:rsidRDefault="00B668E6" w:rsidP="001B6543">
            <w:r w:rsidRPr="001B6543">
              <w:t>Restricted</w:t>
            </w:r>
          </w:p>
        </w:tc>
        <w:tc>
          <w:tcPr>
            <w:tcW w:w="1710" w:type="dxa"/>
          </w:tcPr>
          <w:p w14:paraId="41DCC32E" w14:textId="632F6512" w:rsidR="00B668E6" w:rsidRPr="001B6543" w:rsidRDefault="00B668E6" w:rsidP="001B6543">
            <w:r w:rsidRPr="001B6543">
              <w:t>Yes</w:t>
            </w:r>
            <w:r w:rsidR="005A255A">
              <w:t xml:space="preserve"> / Yes</w:t>
            </w:r>
          </w:p>
        </w:tc>
      </w:tr>
      <w:tr w:rsidR="00B668E6" w:rsidRPr="001B6543" w14:paraId="5791925E" w14:textId="77777777" w:rsidTr="005A255A">
        <w:tc>
          <w:tcPr>
            <w:tcW w:w="1522" w:type="dxa"/>
          </w:tcPr>
          <w:p w14:paraId="111599A5" w14:textId="77777777" w:rsidR="00B668E6" w:rsidRPr="001B6543" w:rsidRDefault="00B668E6" w:rsidP="001B6543">
            <w:r w:rsidRPr="001B6543">
              <w:t>Micreme H</w:t>
            </w:r>
          </w:p>
        </w:tc>
        <w:tc>
          <w:tcPr>
            <w:tcW w:w="2089" w:type="dxa"/>
          </w:tcPr>
          <w:p w14:paraId="04B40964" w14:textId="7CD6543C" w:rsidR="00B668E6" w:rsidRPr="001B6543" w:rsidRDefault="00B668E6" w:rsidP="001B6543">
            <w:r w:rsidRPr="001B6543">
              <w:t xml:space="preserve">Topical cream </w:t>
            </w:r>
            <w:r w:rsidR="000107A1">
              <w:t xml:space="preserve">2% </w:t>
            </w:r>
            <w:r w:rsidRPr="001B6543">
              <w:t>(hydrocortisone)</w:t>
            </w:r>
          </w:p>
        </w:tc>
        <w:tc>
          <w:tcPr>
            <w:tcW w:w="2196" w:type="dxa"/>
            <w:vMerge/>
          </w:tcPr>
          <w:p w14:paraId="09D8E885" w14:textId="5905453C" w:rsidR="00B668E6" w:rsidRPr="001B6543" w:rsidRDefault="00B668E6" w:rsidP="001B6543"/>
        </w:tc>
        <w:tc>
          <w:tcPr>
            <w:tcW w:w="1518" w:type="dxa"/>
          </w:tcPr>
          <w:p w14:paraId="615CE9B7" w14:textId="77777777" w:rsidR="00B668E6" w:rsidRPr="001B6543" w:rsidRDefault="00B668E6" w:rsidP="001B6543">
            <w:r w:rsidRPr="001B6543">
              <w:t>Restricted</w:t>
            </w:r>
          </w:p>
        </w:tc>
        <w:tc>
          <w:tcPr>
            <w:tcW w:w="1710" w:type="dxa"/>
          </w:tcPr>
          <w:p w14:paraId="447F028C" w14:textId="1A1CEFFC" w:rsidR="00B668E6" w:rsidRPr="001B6543" w:rsidRDefault="00B668E6" w:rsidP="001B6543">
            <w:r w:rsidRPr="001B6543">
              <w:t>Yes</w:t>
            </w:r>
            <w:r w:rsidR="005A255A">
              <w:t xml:space="preserve"> / Yes</w:t>
            </w:r>
          </w:p>
        </w:tc>
      </w:tr>
      <w:tr w:rsidR="00B668E6" w:rsidRPr="001B6543" w14:paraId="52F32F5E" w14:textId="77777777" w:rsidTr="005A255A">
        <w:tc>
          <w:tcPr>
            <w:tcW w:w="1522" w:type="dxa"/>
          </w:tcPr>
          <w:p w14:paraId="06A9145E" w14:textId="77777777" w:rsidR="00B668E6" w:rsidRPr="001B6543" w:rsidRDefault="00B668E6" w:rsidP="001B6543">
            <w:r w:rsidRPr="001B6543">
              <w:t>Resolve Jock Itch</w:t>
            </w:r>
          </w:p>
        </w:tc>
        <w:tc>
          <w:tcPr>
            <w:tcW w:w="2089" w:type="dxa"/>
          </w:tcPr>
          <w:p w14:paraId="1F7F0310" w14:textId="77777777" w:rsidR="00B668E6" w:rsidRPr="001B6543" w:rsidRDefault="00B668E6" w:rsidP="001B6543">
            <w:r w:rsidRPr="001B6543">
              <w:t>Topical cream 2%</w:t>
            </w:r>
          </w:p>
        </w:tc>
        <w:tc>
          <w:tcPr>
            <w:tcW w:w="2196" w:type="dxa"/>
            <w:vMerge w:val="restart"/>
          </w:tcPr>
          <w:p w14:paraId="15A97F14" w14:textId="77777777" w:rsidR="00B668E6" w:rsidRPr="001B6543" w:rsidRDefault="00B668E6" w:rsidP="001B6543">
            <w:r w:rsidRPr="001B6543">
              <w:t>Douglas</w:t>
            </w:r>
            <w:r>
              <w:t xml:space="preserve"> Pharmaceuticals Ltd</w:t>
            </w:r>
          </w:p>
          <w:p w14:paraId="66A53708" w14:textId="7871DC76" w:rsidR="00B668E6" w:rsidRPr="001B6543" w:rsidRDefault="00B668E6" w:rsidP="001B6543"/>
        </w:tc>
        <w:tc>
          <w:tcPr>
            <w:tcW w:w="1518" w:type="dxa"/>
          </w:tcPr>
          <w:p w14:paraId="6B3D0CEA" w14:textId="77777777" w:rsidR="00B668E6" w:rsidRPr="001B6543" w:rsidRDefault="00B668E6" w:rsidP="001B6543">
            <w:r w:rsidRPr="001B6543">
              <w:t>Pharmacy only</w:t>
            </w:r>
          </w:p>
        </w:tc>
        <w:tc>
          <w:tcPr>
            <w:tcW w:w="1710" w:type="dxa"/>
          </w:tcPr>
          <w:p w14:paraId="20255323" w14:textId="72D4B6C7" w:rsidR="00B668E6" w:rsidRPr="001B6543" w:rsidRDefault="00B668E6" w:rsidP="001B6543">
            <w:r w:rsidRPr="001B6543">
              <w:t>No</w:t>
            </w:r>
            <w:r w:rsidR="005A255A">
              <w:t xml:space="preserve"> / No</w:t>
            </w:r>
          </w:p>
        </w:tc>
      </w:tr>
      <w:tr w:rsidR="00B668E6" w:rsidRPr="001B6543" w14:paraId="3C7B7BC0" w14:textId="77777777" w:rsidTr="005A255A">
        <w:tc>
          <w:tcPr>
            <w:tcW w:w="1522" w:type="dxa"/>
          </w:tcPr>
          <w:p w14:paraId="566D1831" w14:textId="77777777" w:rsidR="00B668E6" w:rsidRPr="001B6543" w:rsidRDefault="00B668E6" w:rsidP="001B6543">
            <w:r w:rsidRPr="001B6543">
              <w:t>Resolve Nappy rash</w:t>
            </w:r>
          </w:p>
        </w:tc>
        <w:tc>
          <w:tcPr>
            <w:tcW w:w="2089" w:type="dxa"/>
          </w:tcPr>
          <w:p w14:paraId="3245F0FC" w14:textId="456A74D0" w:rsidR="00B668E6" w:rsidRPr="001B6543" w:rsidRDefault="00B668E6" w:rsidP="001B6543">
            <w:r w:rsidRPr="001B6543">
              <w:t>Topical ointment (0.25%</w:t>
            </w:r>
            <w:r w:rsidR="000107A1">
              <w:t>,</w:t>
            </w:r>
            <w:r w:rsidRPr="001B6543">
              <w:t xml:space="preserve"> zinc oxide 15%)</w:t>
            </w:r>
          </w:p>
        </w:tc>
        <w:tc>
          <w:tcPr>
            <w:tcW w:w="2196" w:type="dxa"/>
            <w:vMerge/>
          </w:tcPr>
          <w:p w14:paraId="403ABD94" w14:textId="711A367E" w:rsidR="00B668E6" w:rsidRPr="001B6543" w:rsidRDefault="00B668E6" w:rsidP="001B6543"/>
        </w:tc>
        <w:tc>
          <w:tcPr>
            <w:tcW w:w="1518" w:type="dxa"/>
          </w:tcPr>
          <w:p w14:paraId="28879BED" w14:textId="77777777" w:rsidR="00B668E6" w:rsidRPr="001B6543" w:rsidRDefault="00B668E6" w:rsidP="001B6543">
            <w:r w:rsidRPr="001B6543">
              <w:t>Pharmacy only</w:t>
            </w:r>
          </w:p>
        </w:tc>
        <w:tc>
          <w:tcPr>
            <w:tcW w:w="1710" w:type="dxa"/>
          </w:tcPr>
          <w:p w14:paraId="75759FAC" w14:textId="6574E328" w:rsidR="00B668E6" w:rsidRPr="001B6543" w:rsidRDefault="00B668E6" w:rsidP="001B6543">
            <w:r w:rsidRPr="001B6543">
              <w:t>No</w:t>
            </w:r>
            <w:r w:rsidR="005A255A">
              <w:t xml:space="preserve"> / No</w:t>
            </w:r>
          </w:p>
        </w:tc>
      </w:tr>
      <w:tr w:rsidR="00B668E6" w:rsidRPr="001B6543" w14:paraId="178520B0" w14:textId="77777777" w:rsidTr="005A255A">
        <w:tc>
          <w:tcPr>
            <w:tcW w:w="1522" w:type="dxa"/>
          </w:tcPr>
          <w:p w14:paraId="68474EBD" w14:textId="77777777" w:rsidR="00B668E6" w:rsidRPr="001B6543" w:rsidRDefault="00B668E6" w:rsidP="001B6543">
            <w:r w:rsidRPr="001B6543">
              <w:t>Resolve Plus</w:t>
            </w:r>
          </w:p>
        </w:tc>
        <w:tc>
          <w:tcPr>
            <w:tcW w:w="2089" w:type="dxa"/>
          </w:tcPr>
          <w:p w14:paraId="12A48846" w14:textId="20102283" w:rsidR="00B668E6" w:rsidRPr="001B6543" w:rsidRDefault="00B668E6" w:rsidP="001B6543">
            <w:r w:rsidRPr="001B6543">
              <w:t>0.5</w:t>
            </w:r>
            <w:r w:rsidR="000107A1">
              <w:t>%</w:t>
            </w:r>
            <w:r w:rsidRPr="001B6543">
              <w:t xml:space="preserve"> Topical cream</w:t>
            </w:r>
          </w:p>
        </w:tc>
        <w:tc>
          <w:tcPr>
            <w:tcW w:w="2196" w:type="dxa"/>
            <w:vMerge/>
          </w:tcPr>
          <w:p w14:paraId="4D0C9037" w14:textId="70D38654" w:rsidR="00B668E6" w:rsidRPr="001B6543" w:rsidRDefault="00B668E6" w:rsidP="001B6543"/>
        </w:tc>
        <w:tc>
          <w:tcPr>
            <w:tcW w:w="1518" w:type="dxa"/>
          </w:tcPr>
          <w:p w14:paraId="76055CF4" w14:textId="77777777" w:rsidR="00B668E6" w:rsidRPr="001B6543" w:rsidRDefault="00B668E6" w:rsidP="001B6543">
            <w:r w:rsidRPr="001B6543">
              <w:t>Pharmacy only</w:t>
            </w:r>
          </w:p>
        </w:tc>
        <w:tc>
          <w:tcPr>
            <w:tcW w:w="1710" w:type="dxa"/>
          </w:tcPr>
          <w:p w14:paraId="46CBE7B7" w14:textId="386D9C92" w:rsidR="00B668E6" w:rsidRPr="001B6543" w:rsidRDefault="00B668E6" w:rsidP="001B6543">
            <w:r>
              <w:t>Y</w:t>
            </w:r>
            <w:r w:rsidRPr="001B6543">
              <w:t>es</w:t>
            </w:r>
            <w:r w:rsidR="005A255A">
              <w:t xml:space="preserve"> / No</w:t>
            </w:r>
          </w:p>
        </w:tc>
      </w:tr>
      <w:tr w:rsidR="00B668E6" w:rsidRPr="001B6543" w14:paraId="6B85B6D5" w14:textId="77777777" w:rsidTr="005A255A">
        <w:tc>
          <w:tcPr>
            <w:tcW w:w="1522" w:type="dxa"/>
          </w:tcPr>
          <w:p w14:paraId="6943C52B" w14:textId="77777777" w:rsidR="00B668E6" w:rsidRPr="001B6543" w:rsidRDefault="00B668E6" w:rsidP="001B6543">
            <w:r w:rsidRPr="001B6543">
              <w:t>Resolve Plus</w:t>
            </w:r>
          </w:p>
        </w:tc>
        <w:tc>
          <w:tcPr>
            <w:tcW w:w="2089" w:type="dxa"/>
          </w:tcPr>
          <w:p w14:paraId="67EFFC87" w14:textId="2608B1FD" w:rsidR="00B668E6" w:rsidRPr="001B6543" w:rsidRDefault="00B668E6" w:rsidP="001B6543">
            <w:r w:rsidRPr="001B6543">
              <w:t>1.0</w:t>
            </w:r>
            <w:r w:rsidR="000107A1">
              <w:t>%</w:t>
            </w:r>
            <w:r w:rsidRPr="001B6543">
              <w:t xml:space="preserve"> Topical cream </w:t>
            </w:r>
          </w:p>
        </w:tc>
        <w:tc>
          <w:tcPr>
            <w:tcW w:w="2196" w:type="dxa"/>
            <w:vMerge/>
          </w:tcPr>
          <w:p w14:paraId="7CB7B52F" w14:textId="5823477C" w:rsidR="00B668E6" w:rsidRPr="001B6543" w:rsidRDefault="00B668E6" w:rsidP="001B6543"/>
        </w:tc>
        <w:tc>
          <w:tcPr>
            <w:tcW w:w="1518" w:type="dxa"/>
          </w:tcPr>
          <w:p w14:paraId="2EAECCBA" w14:textId="77777777" w:rsidR="00B668E6" w:rsidRPr="001B6543" w:rsidRDefault="00B668E6" w:rsidP="001B6543">
            <w:r w:rsidRPr="001B6543">
              <w:t>Restricted</w:t>
            </w:r>
          </w:p>
        </w:tc>
        <w:tc>
          <w:tcPr>
            <w:tcW w:w="1710" w:type="dxa"/>
          </w:tcPr>
          <w:p w14:paraId="02F0D0C5" w14:textId="601C53EB" w:rsidR="00B668E6" w:rsidRPr="001B6543" w:rsidRDefault="00B668E6" w:rsidP="001B6543">
            <w:r w:rsidRPr="001B6543">
              <w:t>Yes</w:t>
            </w:r>
            <w:r w:rsidR="005A255A">
              <w:t xml:space="preserve"> / No</w:t>
            </w:r>
          </w:p>
        </w:tc>
      </w:tr>
      <w:tr w:rsidR="00B668E6" w:rsidRPr="001B6543" w14:paraId="34237B12" w14:textId="77777777" w:rsidTr="005A255A">
        <w:tc>
          <w:tcPr>
            <w:tcW w:w="1522" w:type="dxa"/>
          </w:tcPr>
          <w:p w14:paraId="03C3FC1A" w14:textId="77777777" w:rsidR="00B668E6" w:rsidRPr="001B6543" w:rsidRDefault="00B668E6" w:rsidP="001B6543">
            <w:r w:rsidRPr="001B6543">
              <w:t xml:space="preserve">Resolve </w:t>
            </w:r>
          </w:p>
        </w:tc>
        <w:tc>
          <w:tcPr>
            <w:tcW w:w="2089" w:type="dxa"/>
          </w:tcPr>
          <w:p w14:paraId="10AB1916" w14:textId="77777777" w:rsidR="00B668E6" w:rsidRPr="001B6543" w:rsidRDefault="00B668E6" w:rsidP="001B6543">
            <w:r w:rsidRPr="001B6543">
              <w:t>Topical solution 2%</w:t>
            </w:r>
          </w:p>
        </w:tc>
        <w:tc>
          <w:tcPr>
            <w:tcW w:w="2196" w:type="dxa"/>
            <w:vMerge/>
          </w:tcPr>
          <w:p w14:paraId="0EEE17D8" w14:textId="27B426B1" w:rsidR="00B668E6" w:rsidRPr="001B6543" w:rsidRDefault="00B668E6" w:rsidP="001B6543"/>
        </w:tc>
        <w:tc>
          <w:tcPr>
            <w:tcW w:w="1518" w:type="dxa"/>
          </w:tcPr>
          <w:p w14:paraId="5F156B72" w14:textId="77777777" w:rsidR="00B668E6" w:rsidRPr="001B6543" w:rsidRDefault="00B668E6" w:rsidP="001B6543">
            <w:r w:rsidRPr="001B6543">
              <w:t>Pharmacy only</w:t>
            </w:r>
          </w:p>
        </w:tc>
        <w:tc>
          <w:tcPr>
            <w:tcW w:w="1710" w:type="dxa"/>
          </w:tcPr>
          <w:p w14:paraId="53C7D42C" w14:textId="503B60E7" w:rsidR="00B668E6" w:rsidRPr="001B6543" w:rsidRDefault="00B668E6" w:rsidP="001B6543">
            <w:r w:rsidRPr="001B6543">
              <w:t>No</w:t>
            </w:r>
            <w:r w:rsidR="005A255A">
              <w:t xml:space="preserve"> / No</w:t>
            </w:r>
          </w:p>
        </w:tc>
      </w:tr>
      <w:tr w:rsidR="00B668E6" w:rsidRPr="001B6543" w14:paraId="15536489" w14:textId="77777777" w:rsidTr="005A255A">
        <w:tc>
          <w:tcPr>
            <w:tcW w:w="1522" w:type="dxa"/>
          </w:tcPr>
          <w:p w14:paraId="50352845" w14:textId="77777777" w:rsidR="00B668E6" w:rsidRPr="001B6543" w:rsidRDefault="00B668E6" w:rsidP="001B6543">
            <w:r w:rsidRPr="001B6543">
              <w:t>Resolve Thrush</w:t>
            </w:r>
          </w:p>
        </w:tc>
        <w:tc>
          <w:tcPr>
            <w:tcW w:w="2089" w:type="dxa"/>
          </w:tcPr>
          <w:p w14:paraId="2256CAE4" w14:textId="77777777" w:rsidR="00B668E6" w:rsidRPr="001B6543" w:rsidRDefault="00B668E6" w:rsidP="001B6543">
            <w:r w:rsidRPr="001B6543">
              <w:t>Vaginal cream 2%</w:t>
            </w:r>
          </w:p>
        </w:tc>
        <w:tc>
          <w:tcPr>
            <w:tcW w:w="2196" w:type="dxa"/>
            <w:vMerge/>
          </w:tcPr>
          <w:p w14:paraId="76B24EE9" w14:textId="743D7B2E" w:rsidR="00B668E6" w:rsidRPr="001B6543" w:rsidRDefault="00B668E6" w:rsidP="001B6543"/>
        </w:tc>
        <w:tc>
          <w:tcPr>
            <w:tcW w:w="1518" w:type="dxa"/>
          </w:tcPr>
          <w:p w14:paraId="318A48CA" w14:textId="77777777" w:rsidR="00B668E6" w:rsidRPr="001B6543" w:rsidRDefault="00B668E6" w:rsidP="001B6543">
            <w:r w:rsidRPr="001B6543">
              <w:t>Restricted</w:t>
            </w:r>
          </w:p>
        </w:tc>
        <w:tc>
          <w:tcPr>
            <w:tcW w:w="1710" w:type="dxa"/>
          </w:tcPr>
          <w:p w14:paraId="211748DF" w14:textId="7C22C2B1" w:rsidR="00B668E6" w:rsidRPr="001B6543" w:rsidRDefault="00B668E6" w:rsidP="001B6543">
            <w:r w:rsidRPr="001B6543">
              <w:t>Yes</w:t>
            </w:r>
            <w:r w:rsidR="005A255A">
              <w:t xml:space="preserve"> / No</w:t>
            </w:r>
          </w:p>
        </w:tc>
      </w:tr>
      <w:tr w:rsidR="00B668E6" w:rsidRPr="001B6543" w14:paraId="70AC7863" w14:textId="77777777" w:rsidTr="005A255A">
        <w:tc>
          <w:tcPr>
            <w:tcW w:w="1522" w:type="dxa"/>
          </w:tcPr>
          <w:p w14:paraId="3B44A739" w14:textId="77777777" w:rsidR="00B668E6" w:rsidRPr="001B6543" w:rsidRDefault="00B668E6" w:rsidP="001B6543">
            <w:r w:rsidRPr="001B6543">
              <w:t>Resolve Tinea</w:t>
            </w:r>
          </w:p>
        </w:tc>
        <w:tc>
          <w:tcPr>
            <w:tcW w:w="2089" w:type="dxa"/>
          </w:tcPr>
          <w:p w14:paraId="53D00C2C" w14:textId="77777777" w:rsidR="00B668E6" w:rsidRPr="001B6543" w:rsidRDefault="00B668E6" w:rsidP="001B6543">
            <w:r w:rsidRPr="001B6543">
              <w:t>Topical cream 2%</w:t>
            </w:r>
          </w:p>
        </w:tc>
        <w:tc>
          <w:tcPr>
            <w:tcW w:w="2196" w:type="dxa"/>
            <w:vMerge/>
          </w:tcPr>
          <w:p w14:paraId="6F6FE559" w14:textId="43C9D2F9" w:rsidR="00B668E6" w:rsidRPr="001B6543" w:rsidRDefault="00B668E6" w:rsidP="001B6543"/>
        </w:tc>
        <w:tc>
          <w:tcPr>
            <w:tcW w:w="1518" w:type="dxa"/>
          </w:tcPr>
          <w:p w14:paraId="32BE80B8" w14:textId="77777777" w:rsidR="00B668E6" w:rsidRPr="001B6543" w:rsidRDefault="00B668E6" w:rsidP="001B6543">
            <w:r w:rsidRPr="001B6543">
              <w:t>Pharmacy</w:t>
            </w:r>
          </w:p>
        </w:tc>
        <w:tc>
          <w:tcPr>
            <w:tcW w:w="1710" w:type="dxa"/>
          </w:tcPr>
          <w:p w14:paraId="515CD036" w14:textId="5C93FB1B" w:rsidR="00B668E6" w:rsidRPr="001B6543" w:rsidRDefault="00B668E6" w:rsidP="001B6543">
            <w:r w:rsidRPr="001B6543">
              <w:t>No</w:t>
            </w:r>
            <w:r w:rsidR="005A255A">
              <w:t xml:space="preserve"> / No</w:t>
            </w:r>
          </w:p>
        </w:tc>
      </w:tr>
      <w:tr w:rsidR="00B668E6" w:rsidRPr="001B6543" w14:paraId="2D78A139" w14:textId="77777777" w:rsidTr="005A255A">
        <w:tc>
          <w:tcPr>
            <w:tcW w:w="1522" w:type="dxa"/>
          </w:tcPr>
          <w:p w14:paraId="239366D4" w14:textId="77777777" w:rsidR="00B668E6" w:rsidRPr="001B6543" w:rsidRDefault="00B668E6" w:rsidP="001B6543">
            <w:r w:rsidRPr="001B6543">
              <w:t>Resolve Tinea</w:t>
            </w:r>
          </w:p>
        </w:tc>
        <w:tc>
          <w:tcPr>
            <w:tcW w:w="2089" w:type="dxa"/>
          </w:tcPr>
          <w:p w14:paraId="68DC860A" w14:textId="77777777" w:rsidR="00B668E6" w:rsidRPr="001B6543" w:rsidRDefault="00B668E6" w:rsidP="001B6543">
            <w:r w:rsidRPr="001B6543">
              <w:t>Topical powder 2%</w:t>
            </w:r>
          </w:p>
        </w:tc>
        <w:tc>
          <w:tcPr>
            <w:tcW w:w="2196" w:type="dxa"/>
            <w:vMerge/>
          </w:tcPr>
          <w:p w14:paraId="6F0F2238" w14:textId="44361AC8" w:rsidR="00B668E6" w:rsidRPr="001B6543" w:rsidRDefault="00B668E6" w:rsidP="001B6543"/>
        </w:tc>
        <w:tc>
          <w:tcPr>
            <w:tcW w:w="1518" w:type="dxa"/>
          </w:tcPr>
          <w:p w14:paraId="32A0B076" w14:textId="77777777" w:rsidR="00B668E6" w:rsidRPr="001B6543" w:rsidRDefault="00B668E6" w:rsidP="001B6543">
            <w:r w:rsidRPr="001B6543">
              <w:t>Pharmacy</w:t>
            </w:r>
          </w:p>
        </w:tc>
        <w:tc>
          <w:tcPr>
            <w:tcW w:w="1710" w:type="dxa"/>
          </w:tcPr>
          <w:p w14:paraId="599E6AEB" w14:textId="36A10BCE" w:rsidR="00B668E6" w:rsidRPr="001B6543" w:rsidRDefault="00B668E6" w:rsidP="001B6543">
            <w:r w:rsidRPr="001B6543">
              <w:t>No</w:t>
            </w:r>
            <w:r w:rsidR="005A255A">
              <w:t xml:space="preserve"> /</w:t>
            </w:r>
            <w:r w:rsidR="000107A1">
              <w:t xml:space="preserve"> </w:t>
            </w:r>
            <w:r w:rsidR="005A255A">
              <w:t>No</w:t>
            </w:r>
          </w:p>
        </w:tc>
      </w:tr>
    </w:tbl>
    <w:p w14:paraId="7D74E60A" w14:textId="77777777" w:rsidR="005A255A" w:rsidRDefault="005A255A">
      <w:pPr>
        <w:rPr>
          <w:rFonts w:asciiTheme="majorHAnsi" w:eastAsiaTheme="majorEastAsia" w:hAnsiTheme="majorHAnsi" w:cstheme="majorBidi"/>
          <w:b/>
          <w:bCs/>
          <w:color w:val="002060"/>
          <w:sz w:val="28"/>
          <w:szCs w:val="28"/>
          <w:lang w:val="en-GB"/>
        </w:rPr>
      </w:pPr>
      <w:r>
        <w:br w:type="page"/>
      </w:r>
    </w:p>
    <w:p w14:paraId="7EE859D3" w14:textId="59286343" w:rsidR="00655CA7" w:rsidRDefault="00655CA7" w:rsidP="00655CA7">
      <w:pPr>
        <w:pStyle w:val="Heading1"/>
      </w:pPr>
      <w:bookmarkStart w:id="15" w:name="_Toc474408889"/>
      <w:r>
        <w:lastRenderedPageBreak/>
        <w:t>Discussion and conclusions</w:t>
      </w:r>
      <w:bookmarkEnd w:id="15"/>
    </w:p>
    <w:p w14:paraId="32CAE193" w14:textId="3308D5D1" w:rsidR="008F7E2A" w:rsidRDefault="00494154" w:rsidP="00655CA7">
      <w:pPr>
        <w:rPr>
          <w:lang w:val="en-GB"/>
        </w:rPr>
      </w:pPr>
      <w:r>
        <w:rPr>
          <w:lang w:val="en-GB"/>
        </w:rPr>
        <w:t xml:space="preserve">The majority of cases in the literature and reported to regulators describe an interaction between warfarin and </w:t>
      </w:r>
      <w:r w:rsidR="00664D7E">
        <w:rPr>
          <w:lang w:val="en-GB"/>
        </w:rPr>
        <w:t xml:space="preserve">the </w:t>
      </w:r>
      <w:r>
        <w:rPr>
          <w:lang w:val="en-GB"/>
        </w:rPr>
        <w:t>oral gel</w:t>
      </w:r>
      <w:r w:rsidR="00664D7E">
        <w:rPr>
          <w:lang w:val="en-GB"/>
        </w:rPr>
        <w:t xml:space="preserve"> formulation of miconazole</w:t>
      </w:r>
      <w:r>
        <w:rPr>
          <w:lang w:val="en-GB"/>
        </w:rPr>
        <w:t xml:space="preserve">.  This is </w:t>
      </w:r>
      <w:r w:rsidR="00FA150B">
        <w:rPr>
          <w:lang w:val="en-GB"/>
        </w:rPr>
        <w:t>probably because most of an oral gel dose will be swallowed, leading</w:t>
      </w:r>
      <w:r>
        <w:rPr>
          <w:lang w:val="en-GB"/>
        </w:rPr>
        <w:t xml:space="preserve"> to greater exposure to miconazole.  </w:t>
      </w:r>
    </w:p>
    <w:p w14:paraId="2C3C89DD" w14:textId="4A18B53E" w:rsidR="008F7E2A" w:rsidRDefault="008F7E2A" w:rsidP="00655CA7">
      <w:pPr>
        <w:rPr>
          <w:lang w:val="en-GB"/>
        </w:rPr>
      </w:pPr>
      <w:r>
        <w:rPr>
          <w:lang w:val="en-GB"/>
        </w:rPr>
        <w:t>Some of the literature cases describe</w:t>
      </w:r>
      <w:r w:rsidR="00101DB0">
        <w:rPr>
          <w:lang w:val="en-GB"/>
        </w:rPr>
        <w:t xml:space="preserve"> a</w:t>
      </w:r>
      <w:r>
        <w:rPr>
          <w:lang w:val="en-GB"/>
        </w:rPr>
        <w:t xml:space="preserve"> positive dechallenge (where the patient recovered after stopping miconazole use)</w:t>
      </w:r>
      <w:r w:rsidR="00101DB0">
        <w:rPr>
          <w:lang w:val="en-GB"/>
        </w:rPr>
        <w:t>.  In addition there are some cases describing a</w:t>
      </w:r>
      <w:r>
        <w:rPr>
          <w:lang w:val="en-GB"/>
        </w:rPr>
        <w:t xml:space="preserve"> positive rechallenge (where the events recurred on reusing miconazole).</w:t>
      </w:r>
      <w:r w:rsidR="00664D7E">
        <w:rPr>
          <w:lang w:val="en-GB"/>
        </w:rPr>
        <w:t xml:space="preserve"> Some very high INRs were reported as well as bleeding.  While the number of reports appears to be low the outcome of the interaction </w:t>
      </w:r>
      <w:r w:rsidR="000107A1">
        <w:rPr>
          <w:lang w:val="en-GB"/>
        </w:rPr>
        <w:t>may be</w:t>
      </w:r>
      <w:r w:rsidR="00664D7E">
        <w:rPr>
          <w:lang w:val="en-GB"/>
        </w:rPr>
        <w:t xml:space="preserve"> life threatening.</w:t>
      </w:r>
    </w:p>
    <w:p w14:paraId="2981A560" w14:textId="74FF7BC1" w:rsidR="00655CA7" w:rsidRDefault="00494154" w:rsidP="00655CA7">
      <w:pPr>
        <w:rPr>
          <w:lang w:val="en-GB"/>
        </w:rPr>
      </w:pPr>
      <w:r>
        <w:rPr>
          <w:lang w:val="en-GB"/>
        </w:rPr>
        <w:t xml:space="preserve">Miconazole </w:t>
      </w:r>
      <w:r w:rsidR="00101DB0">
        <w:rPr>
          <w:lang w:val="en-GB"/>
        </w:rPr>
        <w:t>oral gel</w:t>
      </w:r>
      <w:r>
        <w:rPr>
          <w:lang w:val="en-GB"/>
        </w:rPr>
        <w:t xml:space="preserve"> </w:t>
      </w:r>
      <w:r w:rsidR="00101DB0">
        <w:rPr>
          <w:lang w:val="en-GB"/>
        </w:rPr>
        <w:t>is</w:t>
      </w:r>
      <w:r>
        <w:rPr>
          <w:lang w:val="en-GB"/>
        </w:rPr>
        <w:t xml:space="preserve"> classified as</w:t>
      </w:r>
      <w:r w:rsidR="00101DB0">
        <w:rPr>
          <w:lang w:val="en-GB"/>
        </w:rPr>
        <w:t xml:space="preserve"> a</w:t>
      </w:r>
      <w:r>
        <w:rPr>
          <w:lang w:val="en-GB"/>
        </w:rPr>
        <w:t xml:space="preserve"> restricted medicine and therefore</w:t>
      </w:r>
      <w:r w:rsidR="00101DB0">
        <w:rPr>
          <w:lang w:val="en-GB"/>
        </w:rPr>
        <w:t xml:space="preserve"> a</w:t>
      </w:r>
      <w:r>
        <w:rPr>
          <w:lang w:val="en-GB"/>
        </w:rPr>
        <w:t xml:space="preserve"> data sheet must be provided and a pharmacist must be involved in the sale.  Nevertheless</w:t>
      </w:r>
      <w:r w:rsidR="00FA150B">
        <w:rPr>
          <w:lang w:val="en-GB"/>
        </w:rPr>
        <w:t>,</w:t>
      </w:r>
      <w:r>
        <w:rPr>
          <w:lang w:val="en-GB"/>
        </w:rPr>
        <w:t xml:space="preserve"> cases of potentially serious interactions involving miconazole oral gel continue to be reported to CARM.</w:t>
      </w:r>
    </w:p>
    <w:p w14:paraId="6DB20F4A" w14:textId="77777777" w:rsidR="008F7E2A" w:rsidRDefault="00764B55" w:rsidP="00655CA7">
      <w:pPr>
        <w:rPr>
          <w:lang w:val="en-GB"/>
        </w:rPr>
      </w:pPr>
      <w:r>
        <w:rPr>
          <w:lang w:val="en-GB"/>
        </w:rPr>
        <w:t>Reports of interactions occurring between warfarin and other topical miconazole products have also been reported, although less frequently.  In these cases the interaction may have occurred as the product was applied to broken or inflamed skin</w:t>
      </w:r>
      <w:r w:rsidR="00FA150B">
        <w:rPr>
          <w:lang w:val="en-GB"/>
        </w:rPr>
        <w:t>,</w:t>
      </w:r>
      <w:r>
        <w:rPr>
          <w:lang w:val="en-GB"/>
        </w:rPr>
        <w:t xml:space="preserve"> potentially increasing the absorption of miconazole.</w:t>
      </w:r>
    </w:p>
    <w:p w14:paraId="63018BA8" w14:textId="77777777" w:rsidR="00CD7A86" w:rsidRDefault="00CD7A86" w:rsidP="00655CA7">
      <w:pPr>
        <w:rPr>
          <w:lang w:val="en-GB"/>
        </w:rPr>
      </w:pPr>
      <w:r>
        <w:rPr>
          <w:lang w:val="en-GB"/>
        </w:rPr>
        <w:t>It is likely that this interaction</w:t>
      </w:r>
      <w:r w:rsidR="00707CBE">
        <w:rPr>
          <w:lang w:val="en-GB"/>
        </w:rPr>
        <w:t xml:space="preserve"> is under reported.  The cases reported to CARM mainly involve patients who experienced bleeds. It is likely that there are also cases where the interaction did n</w:t>
      </w:r>
      <w:r w:rsidR="009B26E2">
        <w:rPr>
          <w:lang w:val="en-GB"/>
        </w:rPr>
        <w:t>o</w:t>
      </w:r>
      <w:r w:rsidR="00707CBE">
        <w:rPr>
          <w:lang w:val="en-GB"/>
        </w:rPr>
        <w:t>t result in a bleed.</w:t>
      </w:r>
    </w:p>
    <w:p w14:paraId="4D579CF3" w14:textId="77777777" w:rsidR="00764B55" w:rsidRDefault="009B26E2" w:rsidP="00655CA7">
      <w:pPr>
        <w:rPr>
          <w:lang w:val="en-GB"/>
        </w:rPr>
      </w:pPr>
      <w:r>
        <w:rPr>
          <w:lang w:val="en-GB"/>
        </w:rPr>
        <w:t>A</w:t>
      </w:r>
      <w:r w:rsidR="00764B55">
        <w:rPr>
          <w:lang w:val="en-GB"/>
        </w:rPr>
        <w:t>lthough label statements are not required</w:t>
      </w:r>
      <w:r>
        <w:rPr>
          <w:lang w:val="en-GB"/>
        </w:rPr>
        <w:t xml:space="preserve"> in Australia</w:t>
      </w:r>
      <w:r w:rsidR="00764B55">
        <w:rPr>
          <w:lang w:val="en-GB"/>
        </w:rPr>
        <w:t xml:space="preserve"> the information must be provided in the patient leaflet if it is not on the package for the oral gel.</w:t>
      </w:r>
    </w:p>
    <w:p w14:paraId="352CE5DA" w14:textId="5EC087FE" w:rsidR="004F0786" w:rsidRDefault="00CD7A86" w:rsidP="00655CA7">
      <w:pPr>
        <w:rPr>
          <w:lang w:val="en-GB"/>
        </w:rPr>
      </w:pPr>
      <w:r>
        <w:rPr>
          <w:lang w:val="en-GB"/>
        </w:rPr>
        <w:t>In New Zealand package label statements</w:t>
      </w:r>
      <w:r w:rsidR="00FA150B">
        <w:rPr>
          <w:lang w:val="en-GB"/>
        </w:rPr>
        <w:t xml:space="preserve"> can be mandated</w:t>
      </w:r>
      <w:r w:rsidR="00D04BF1">
        <w:rPr>
          <w:lang w:val="en-GB"/>
        </w:rPr>
        <w:t>,</w:t>
      </w:r>
      <w:r>
        <w:rPr>
          <w:lang w:val="en-GB"/>
        </w:rPr>
        <w:t xml:space="preserve"> but package inserts</w:t>
      </w:r>
      <w:r w:rsidR="00FA150B">
        <w:rPr>
          <w:lang w:val="en-GB"/>
        </w:rPr>
        <w:t xml:space="preserve"> are voluntary</w:t>
      </w:r>
      <w:r>
        <w:rPr>
          <w:lang w:val="en-GB"/>
        </w:rPr>
        <w:t xml:space="preserve">.  </w:t>
      </w:r>
      <w:r w:rsidR="004F0786">
        <w:rPr>
          <w:lang w:val="en-GB"/>
        </w:rPr>
        <w:t xml:space="preserve">A statement on the label </w:t>
      </w:r>
      <w:r w:rsidR="009B26E2">
        <w:rPr>
          <w:lang w:val="en-GB"/>
        </w:rPr>
        <w:t>can also act as a</w:t>
      </w:r>
      <w:r w:rsidR="004F0786">
        <w:rPr>
          <w:lang w:val="en-GB"/>
        </w:rPr>
        <w:t xml:space="preserve"> reminder to the pharmacist and pharmacy staff to question customers about warfarin use.  Medsafe considers it important for patients to know about this interaction before purchasing the product as they may wish to use an alternative antifungal</w:t>
      </w:r>
      <w:r w:rsidR="00FA150B">
        <w:rPr>
          <w:lang w:val="en-GB"/>
        </w:rPr>
        <w:t xml:space="preserve"> product</w:t>
      </w:r>
      <w:r w:rsidR="004F0786">
        <w:rPr>
          <w:lang w:val="en-GB"/>
        </w:rPr>
        <w:t>.</w:t>
      </w:r>
    </w:p>
    <w:p w14:paraId="167AB24A" w14:textId="1B2DF2A4" w:rsidR="00CD7A86" w:rsidRDefault="00D04BF1" w:rsidP="00655CA7">
      <w:pPr>
        <w:rPr>
          <w:lang w:val="en-GB"/>
        </w:rPr>
      </w:pPr>
      <w:r>
        <w:rPr>
          <w:lang w:val="en-GB"/>
        </w:rPr>
        <w:t>Therefore</w:t>
      </w:r>
      <w:r w:rsidR="004F0786">
        <w:rPr>
          <w:lang w:val="en-GB"/>
        </w:rPr>
        <w:t>,</w:t>
      </w:r>
      <w:r>
        <w:rPr>
          <w:lang w:val="en-GB"/>
        </w:rPr>
        <w:t xml:space="preserve"> Medsafe is proposing that the Label Statements Database is updated to include warning statements for </w:t>
      </w:r>
      <w:r w:rsidR="00FA150B">
        <w:rPr>
          <w:lang w:val="en-GB"/>
        </w:rPr>
        <w:t xml:space="preserve">all </w:t>
      </w:r>
      <w:r>
        <w:rPr>
          <w:lang w:val="en-GB"/>
        </w:rPr>
        <w:t>miconazole</w:t>
      </w:r>
      <w:r w:rsidR="00FA150B">
        <w:rPr>
          <w:lang w:val="en-GB"/>
        </w:rPr>
        <w:t>-</w:t>
      </w:r>
      <w:r>
        <w:rPr>
          <w:lang w:val="en-GB"/>
        </w:rPr>
        <w:t>containing medicines</w:t>
      </w:r>
      <w:r w:rsidR="00FA150B">
        <w:rPr>
          <w:lang w:val="en-GB"/>
        </w:rPr>
        <w:t xml:space="preserve"> that are available without prescription</w:t>
      </w:r>
      <w:r>
        <w:rPr>
          <w:lang w:val="en-GB"/>
        </w:rPr>
        <w:t>.</w:t>
      </w:r>
    </w:p>
    <w:p w14:paraId="7F999435" w14:textId="77777777" w:rsidR="005A255A" w:rsidRDefault="005A255A">
      <w:pPr>
        <w:rPr>
          <w:rFonts w:asciiTheme="majorHAnsi" w:eastAsiaTheme="majorEastAsia" w:hAnsiTheme="majorHAnsi" w:cstheme="majorBidi"/>
          <w:b/>
          <w:bCs/>
          <w:color w:val="002060"/>
          <w:sz w:val="28"/>
          <w:szCs w:val="28"/>
          <w:lang w:val="en-GB"/>
        </w:rPr>
      </w:pPr>
      <w:r>
        <w:br w:type="page"/>
      </w:r>
    </w:p>
    <w:p w14:paraId="7C168F68" w14:textId="08AA12A2" w:rsidR="00655CA7" w:rsidRDefault="00655CA7" w:rsidP="00655CA7">
      <w:pPr>
        <w:pStyle w:val="Heading1"/>
      </w:pPr>
      <w:bookmarkStart w:id="16" w:name="_Toc474408890"/>
      <w:r>
        <w:lastRenderedPageBreak/>
        <w:t>Proposed Label Statements</w:t>
      </w:r>
      <w:bookmarkEnd w:id="16"/>
    </w:p>
    <w:p w14:paraId="08887069" w14:textId="40DBC2FB" w:rsidR="00D04BF1" w:rsidRDefault="00D04BF1" w:rsidP="00B668E6">
      <w:r>
        <w:t xml:space="preserve">Medsafe proposes that a warning regarding the potential for interaction with warfarin is included on the </w:t>
      </w:r>
      <w:r w:rsidR="00FA150B">
        <w:t>labels of</w:t>
      </w:r>
      <w:r>
        <w:t xml:space="preserve"> all topical miconazole</w:t>
      </w:r>
      <w:r w:rsidR="00FA150B">
        <w:t>-</w:t>
      </w:r>
      <w:r>
        <w:t xml:space="preserve">containing products (ie, topical cream, intravaginal preparations and oral mucosal </w:t>
      </w:r>
      <w:r w:rsidR="00FA150B">
        <w:t>presentations</w:t>
      </w:r>
      <w:r>
        <w:t>).  The proposed statement is</w:t>
      </w:r>
    </w:p>
    <w:p w14:paraId="754D27B6" w14:textId="77777777" w:rsidR="00D04BF1" w:rsidRDefault="00D04BF1" w:rsidP="00B668E6">
      <w:pPr>
        <w:spacing w:after="120"/>
        <w:rPr>
          <w:lang w:val="en-GB"/>
        </w:rPr>
      </w:pPr>
      <w:r>
        <w:rPr>
          <w:lang w:val="en-GB"/>
        </w:rPr>
        <w:t>Either</w:t>
      </w:r>
    </w:p>
    <w:p w14:paraId="2BF95A78" w14:textId="77777777" w:rsidR="00764B55" w:rsidRPr="00D04BF1" w:rsidRDefault="00764B55" w:rsidP="00B668E6">
      <w:pPr>
        <w:spacing w:after="120"/>
        <w:rPr>
          <w:color w:val="FF0000"/>
          <w:lang w:val="en-GB"/>
        </w:rPr>
      </w:pPr>
      <w:r w:rsidRPr="00D04BF1">
        <w:rPr>
          <w:color w:val="FF0000"/>
          <w:lang w:val="en-GB"/>
        </w:rPr>
        <w:t>Do not use [</w:t>
      </w:r>
      <w:r w:rsidRPr="00D04BF1">
        <w:rPr>
          <w:i/>
          <w:color w:val="FF0000"/>
          <w:lang w:val="en-GB"/>
        </w:rPr>
        <w:t>this product</w:t>
      </w:r>
      <w:r w:rsidRPr="00D04BF1">
        <w:rPr>
          <w:color w:val="FF0000"/>
          <w:lang w:val="en-GB"/>
        </w:rPr>
        <w:t>] if you are taking warfarin unless a healthcare professional advises you to.</w:t>
      </w:r>
    </w:p>
    <w:p w14:paraId="1810700F" w14:textId="77777777" w:rsidR="00764B55" w:rsidRPr="00764B55" w:rsidRDefault="00D04BF1" w:rsidP="00B668E6">
      <w:pPr>
        <w:spacing w:after="120"/>
        <w:rPr>
          <w:lang w:val="en-GB"/>
        </w:rPr>
      </w:pPr>
      <w:r>
        <w:rPr>
          <w:lang w:val="en-GB"/>
        </w:rPr>
        <w:t>Or</w:t>
      </w:r>
    </w:p>
    <w:p w14:paraId="49A7A758" w14:textId="77777777" w:rsidR="00764B55" w:rsidRPr="00D04BF1" w:rsidRDefault="00764B55" w:rsidP="00B668E6">
      <w:pPr>
        <w:spacing w:after="120"/>
        <w:rPr>
          <w:color w:val="FF0000"/>
          <w:lang w:val="en-GB"/>
        </w:rPr>
      </w:pPr>
      <w:r w:rsidRPr="00D04BF1">
        <w:rPr>
          <w:color w:val="FF0000"/>
          <w:lang w:val="en-GB"/>
        </w:rPr>
        <w:t>Patients taking warfarin - talk to a healthcare professional before using [</w:t>
      </w:r>
      <w:r w:rsidRPr="00D04BF1">
        <w:rPr>
          <w:i/>
          <w:color w:val="FF0000"/>
          <w:lang w:val="en-GB"/>
        </w:rPr>
        <w:t>this product</w:t>
      </w:r>
      <w:r w:rsidRPr="00D04BF1">
        <w:rPr>
          <w:color w:val="FF0000"/>
          <w:lang w:val="en-GB"/>
        </w:rPr>
        <w:t>].</w:t>
      </w:r>
    </w:p>
    <w:p w14:paraId="3FCBC824" w14:textId="62DDC455" w:rsidR="00D04BF1" w:rsidRDefault="009B26E2" w:rsidP="00D04BF1">
      <w:pPr>
        <w:rPr>
          <w:lang w:val="en-GB"/>
        </w:rPr>
      </w:pPr>
      <w:r>
        <w:rPr>
          <w:lang w:val="en-GB"/>
        </w:rPr>
        <w:t xml:space="preserve">Medsafe proposes that the </w:t>
      </w:r>
      <w:r w:rsidR="0067689E">
        <w:rPr>
          <w:lang w:val="en-GB"/>
        </w:rPr>
        <w:t xml:space="preserve">Label Statements Database is also updated to </w:t>
      </w:r>
      <w:r>
        <w:rPr>
          <w:lang w:val="en-GB"/>
        </w:rPr>
        <w:t>include t</w:t>
      </w:r>
      <w:r w:rsidR="00D04BF1">
        <w:rPr>
          <w:lang w:val="en-GB"/>
        </w:rPr>
        <w:t xml:space="preserve">he following statements </w:t>
      </w:r>
      <w:r>
        <w:rPr>
          <w:lang w:val="en-GB"/>
        </w:rPr>
        <w:t xml:space="preserve">for intravaginal </w:t>
      </w:r>
      <w:r w:rsidR="0067689E">
        <w:rPr>
          <w:lang w:val="en-GB"/>
        </w:rPr>
        <w:t xml:space="preserve">miconazole-containing </w:t>
      </w:r>
      <w:r>
        <w:rPr>
          <w:lang w:val="en-GB"/>
        </w:rPr>
        <w:t>products</w:t>
      </w:r>
      <w:r w:rsidR="0067689E">
        <w:rPr>
          <w:lang w:val="en-GB"/>
        </w:rPr>
        <w:t>:</w:t>
      </w:r>
    </w:p>
    <w:p w14:paraId="07C9D982" w14:textId="70C1E025" w:rsidR="009B26E2" w:rsidRDefault="00764B55" w:rsidP="009B26E2">
      <w:pPr>
        <w:pStyle w:val="ListParagraph"/>
        <w:numPr>
          <w:ilvl w:val="0"/>
          <w:numId w:val="8"/>
        </w:numPr>
        <w:rPr>
          <w:color w:val="FF0000"/>
          <w:lang w:val="en-GB"/>
        </w:rPr>
      </w:pPr>
      <w:r w:rsidRPr="009B26E2">
        <w:rPr>
          <w:color w:val="FF0000"/>
          <w:lang w:val="en-GB"/>
        </w:rPr>
        <w:t>See a doctor if you are pregnant or diabetic</w:t>
      </w:r>
    </w:p>
    <w:p w14:paraId="65AA0E31" w14:textId="58C0E187" w:rsidR="009B26E2" w:rsidRDefault="00764B55" w:rsidP="009B26E2">
      <w:pPr>
        <w:pStyle w:val="ListParagraph"/>
        <w:numPr>
          <w:ilvl w:val="0"/>
          <w:numId w:val="8"/>
        </w:numPr>
        <w:rPr>
          <w:color w:val="FF0000"/>
          <w:lang w:val="en-GB"/>
        </w:rPr>
      </w:pPr>
      <w:r w:rsidRPr="009B26E2">
        <w:rPr>
          <w:color w:val="FF0000"/>
          <w:lang w:val="en-GB"/>
        </w:rPr>
        <w:t>Seek medical advice before first course of treatment</w:t>
      </w:r>
    </w:p>
    <w:p w14:paraId="47EF4FF5" w14:textId="7A98DC12" w:rsidR="009B26E2" w:rsidRDefault="00764B55" w:rsidP="009B26E2">
      <w:pPr>
        <w:pStyle w:val="ListParagraph"/>
        <w:numPr>
          <w:ilvl w:val="0"/>
          <w:numId w:val="8"/>
        </w:numPr>
        <w:rPr>
          <w:color w:val="FF0000"/>
          <w:lang w:val="en-GB"/>
        </w:rPr>
      </w:pPr>
      <w:r w:rsidRPr="009B26E2">
        <w:rPr>
          <w:color w:val="FF0000"/>
          <w:lang w:val="en-GB"/>
        </w:rPr>
        <w:t>See a doctor if problem returns</w:t>
      </w:r>
    </w:p>
    <w:p w14:paraId="42DB41E5" w14:textId="77777777" w:rsidR="00393A7C" w:rsidRPr="009B26E2" w:rsidRDefault="00764B55" w:rsidP="009B26E2">
      <w:pPr>
        <w:pStyle w:val="ListParagraph"/>
        <w:numPr>
          <w:ilvl w:val="0"/>
          <w:numId w:val="8"/>
        </w:numPr>
        <w:rPr>
          <w:color w:val="FF0000"/>
          <w:lang w:val="en-GB"/>
        </w:rPr>
      </w:pPr>
      <w:r w:rsidRPr="009B26E2">
        <w:rPr>
          <w:color w:val="FF0000"/>
          <w:lang w:val="en-GB"/>
        </w:rPr>
        <w:t>See a doctor if no better after [Insert number of days as per approved Product Information] days</w:t>
      </w:r>
      <w:r w:rsidR="00D04BF1" w:rsidRPr="009B26E2">
        <w:rPr>
          <w:color w:val="FF0000"/>
          <w:lang w:val="en-GB"/>
        </w:rPr>
        <w:t>.</w:t>
      </w:r>
    </w:p>
    <w:p w14:paraId="707BCA80" w14:textId="77777777" w:rsidR="009B26E2" w:rsidRDefault="009B26E2" w:rsidP="009B26E2">
      <w:pPr>
        <w:rPr>
          <w:lang w:val="en-GB"/>
        </w:rPr>
      </w:pPr>
      <w:r>
        <w:rPr>
          <w:lang w:val="en-GB"/>
        </w:rPr>
        <w:t>Medsafe is seeking comments on</w:t>
      </w:r>
      <w:r w:rsidR="00F0498C">
        <w:rPr>
          <w:lang w:val="en-GB"/>
        </w:rPr>
        <w:t>:</w:t>
      </w:r>
      <w:r>
        <w:rPr>
          <w:lang w:val="en-GB"/>
        </w:rPr>
        <w:t xml:space="preserve"> </w:t>
      </w:r>
    </w:p>
    <w:p w14:paraId="5814884F" w14:textId="77777777" w:rsidR="009B26E2" w:rsidRDefault="009B26E2" w:rsidP="009B26E2">
      <w:pPr>
        <w:pStyle w:val="ListParagraph"/>
        <w:numPr>
          <w:ilvl w:val="0"/>
          <w:numId w:val="7"/>
        </w:numPr>
        <w:rPr>
          <w:lang w:val="en-GB"/>
        </w:rPr>
      </w:pPr>
      <w:r w:rsidRPr="009B26E2">
        <w:rPr>
          <w:lang w:val="en-GB"/>
        </w:rPr>
        <w:t xml:space="preserve">whether a warning statement about the warfarin interaction is required </w:t>
      </w:r>
      <w:r>
        <w:rPr>
          <w:lang w:val="en-GB"/>
        </w:rPr>
        <w:t xml:space="preserve">for </w:t>
      </w:r>
      <w:r w:rsidRPr="009B26E2">
        <w:rPr>
          <w:u w:val="single"/>
          <w:lang w:val="en-GB"/>
        </w:rPr>
        <w:t>all</w:t>
      </w:r>
      <w:r>
        <w:rPr>
          <w:lang w:val="en-GB"/>
        </w:rPr>
        <w:t xml:space="preserve"> topical miconazole products</w:t>
      </w:r>
      <w:r w:rsidRPr="009B26E2">
        <w:rPr>
          <w:lang w:val="en-GB"/>
        </w:rPr>
        <w:t xml:space="preserve"> </w:t>
      </w:r>
    </w:p>
    <w:p w14:paraId="26BE29A0" w14:textId="77777777" w:rsidR="009B26E2" w:rsidRDefault="009B26E2" w:rsidP="009B26E2">
      <w:pPr>
        <w:pStyle w:val="ListParagraph"/>
        <w:numPr>
          <w:ilvl w:val="0"/>
          <w:numId w:val="7"/>
        </w:numPr>
        <w:rPr>
          <w:lang w:val="en-GB"/>
        </w:rPr>
      </w:pPr>
      <w:r>
        <w:rPr>
          <w:lang w:val="en-GB"/>
        </w:rPr>
        <w:t>which of the proposed statements is preferred and why</w:t>
      </w:r>
    </w:p>
    <w:p w14:paraId="684F9A51" w14:textId="72C8D42C" w:rsidR="00EB5473" w:rsidRPr="00EB5473" w:rsidRDefault="009B26E2" w:rsidP="009B26E2">
      <w:pPr>
        <w:pStyle w:val="ListParagraph"/>
        <w:numPr>
          <w:ilvl w:val="0"/>
          <w:numId w:val="7"/>
        </w:numPr>
        <w:rPr>
          <w:rFonts w:asciiTheme="majorHAnsi" w:eastAsiaTheme="majorEastAsia" w:hAnsiTheme="majorHAnsi" w:cstheme="majorBidi"/>
          <w:b/>
          <w:bCs/>
          <w:color w:val="002060"/>
          <w:sz w:val="28"/>
          <w:szCs w:val="28"/>
          <w:lang w:val="en-GB"/>
        </w:rPr>
      </w:pPr>
      <w:r w:rsidRPr="009B26E2">
        <w:rPr>
          <w:lang w:val="en-GB"/>
        </w:rPr>
        <w:t xml:space="preserve">whether the </w:t>
      </w:r>
      <w:r w:rsidR="0067689E">
        <w:rPr>
          <w:lang w:val="en-GB"/>
        </w:rPr>
        <w:t xml:space="preserve">Australian </w:t>
      </w:r>
      <w:r w:rsidRPr="009B26E2">
        <w:rPr>
          <w:lang w:val="en-GB"/>
        </w:rPr>
        <w:t>require</w:t>
      </w:r>
      <w:r>
        <w:rPr>
          <w:lang w:val="en-GB"/>
        </w:rPr>
        <w:t xml:space="preserve">d </w:t>
      </w:r>
      <w:r w:rsidR="0067689E">
        <w:rPr>
          <w:lang w:val="en-GB"/>
        </w:rPr>
        <w:t xml:space="preserve">advisory </w:t>
      </w:r>
      <w:r w:rsidRPr="009B26E2">
        <w:rPr>
          <w:lang w:val="en-GB"/>
        </w:rPr>
        <w:t xml:space="preserve">statements for intravaginal </w:t>
      </w:r>
      <w:r w:rsidR="0067689E">
        <w:rPr>
          <w:lang w:val="en-GB"/>
        </w:rPr>
        <w:t xml:space="preserve">miconazole </w:t>
      </w:r>
      <w:r w:rsidRPr="009B26E2">
        <w:rPr>
          <w:lang w:val="en-GB"/>
        </w:rPr>
        <w:t>products</w:t>
      </w:r>
      <w:r>
        <w:rPr>
          <w:lang w:val="en-GB"/>
        </w:rPr>
        <w:t xml:space="preserve"> should be </w:t>
      </w:r>
      <w:r w:rsidR="0067689E">
        <w:rPr>
          <w:lang w:val="en-GB"/>
        </w:rPr>
        <w:t>mandated in New Zealand</w:t>
      </w:r>
    </w:p>
    <w:p w14:paraId="50E0024C" w14:textId="1D807DEB" w:rsidR="00393A7C" w:rsidRPr="009B26E2" w:rsidRDefault="00EB5473" w:rsidP="009B26E2">
      <w:pPr>
        <w:pStyle w:val="ListParagraph"/>
        <w:numPr>
          <w:ilvl w:val="0"/>
          <w:numId w:val="7"/>
        </w:numPr>
        <w:rPr>
          <w:rFonts w:asciiTheme="majorHAnsi" w:eastAsiaTheme="majorEastAsia" w:hAnsiTheme="majorHAnsi" w:cstheme="majorBidi"/>
          <w:b/>
          <w:bCs/>
          <w:color w:val="002060"/>
          <w:sz w:val="28"/>
          <w:szCs w:val="28"/>
          <w:lang w:val="en-GB"/>
        </w:rPr>
      </w:pPr>
      <w:r>
        <w:rPr>
          <w:lang w:val="en-GB"/>
        </w:rPr>
        <w:t xml:space="preserve">a </w:t>
      </w:r>
      <w:r w:rsidR="0067689E">
        <w:rPr>
          <w:lang w:val="en-GB"/>
        </w:rPr>
        <w:t xml:space="preserve">suitable </w:t>
      </w:r>
      <w:r>
        <w:rPr>
          <w:lang w:val="en-GB"/>
        </w:rPr>
        <w:t>target date for implementation</w:t>
      </w:r>
      <w:r w:rsidR="009B26E2" w:rsidRPr="009B26E2">
        <w:rPr>
          <w:lang w:val="en-GB"/>
        </w:rPr>
        <w:t>.</w:t>
      </w:r>
      <w:r w:rsidR="00393A7C">
        <w:br w:type="page"/>
      </w:r>
    </w:p>
    <w:p w14:paraId="3CC4F487" w14:textId="77777777" w:rsidR="00393A7C" w:rsidRDefault="00393A7C" w:rsidP="00393A7C">
      <w:pPr>
        <w:pStyle w:val="Heading1"/>
      </w:pPr>
      <w:bookmarkStart w:id="17" w:name="_Toc474408891"/>
      <w:r>
        <w:lastRenderedPageBreak/>
        <w:t>References</w:t>
      </w:r>
      <w:bookmarkEnd w:id="17"/>
    </w:p>
    <w:p w14:paraId="260761EF" w14:textId="77777777" w:rsidR="00B26DB7" w:rsidRPr="00B26DB7" w:rsidRDefault="00393A7C" w:rsidP="00B26DB7">
      <w:pPr>
        <w:spacing w:after="0" w:line="240" w:lineRule="auto"/>
        <w:ind w:left="720" w:hanging="720"/>
        <w:rPr>
          <w:rFonts w:ascii="Calibri" w:hAnsi="Calibri"/>
          <w:noProof/>
          <w:lang w:val="en-GB"/>
        </w:rPr>
      </w:pPr>
      <w:r>
        <w:rPr>
          <w:lang w:val="en-GB"/>
        </w:rPr>
        <w:fldChar w:fldCharType="begin"/>
      </w:r>
      <w:r>
        <w:rPr>
          <w:lang w:val="en-GB"/>
        </w:rPr>
        <w:instrText xml:space="preserve"> ADDIN EN.REFLIST </w:instrText>
      </w:r>
      <w:r>
        <w:rPr>
          <w:lang w:val="en-GB"/>
        </w:rPr>
        <w:fldChar w:fldCharType="separate"/>
      </w:r>
      <w:bookmarkStart w:id="18" w:name="_ENREF_1"/>
      <w:r w:rsidR="00B26DB7" w:rsidRPr="00B26DB7">
        <w:rPr>
          <w:rFonts w:ascii="Calibri" w:hAnsi="Calibri"/>
          <w:noProof/>
          <w:lang w:val="en-GB"/>
        </w:rPr>
        <w:t>1.</w:t>
      </w:r>
      <w:r w:rsidR="00B26DB7" w:rsidRPr="00B26DB7">
        <w:rPr>
          <w:rFonts w:ascii="Calibri" w:hAnsi="Calibri"/>
          <w:noProof/>
          <w:lang w:val="en-GB"/>
        </w:rPr>
        <w:tab/>
        <w:t xml:space="preserve">Murakami, S., et al., </w:t>
      </w:r>
      <w:r w:rsidR="00B26DB7" w:rsidRPr="00B26DB7">
        <w:rPr>
          <w:rFonts w:ascii="Calibri" w:hAnsi="Calibri"/>
          <w:i/>
          <w:noProof/>
          <w:lang w:val="en-GB"/>
        </w:rPr>
        <w:t>Prolonged effects of miconazole oral gel on warfarin anticoagulation even after treatment withdrawal.</w:t>
      </w:r>
      <w:r w:rsidR="00B26DB7" w:rsidRPr="00B26DB7">
        <w:rPr>
          <w:rFonts w:ascii="Calibri" w:hAnsi="Calibri"/>
          <w:noProof/>
          <w:lang w:val="en-GB"/>
        </w:rPr>
        <w:t xml:space="preserve"> Int J Clin Pharmacol Ther, 2016. </w:t>
      </w:r>
      <w:r w:rsidR="00B26DB7" w:rsidRPr="00B26DB7">
        <w:rPr>
          <w:rFonts w:ascii="Calibri" w:hAnsi="Calibri"/>
          <w:b/>
          <w:noProof/>
          <w:lang w:val="en-GB"/>
        </w:rPr>
        <w:t>54</w:t>
      </w:r>
      <w:r w:rsidR="00B26DB7" w:rsidRPr="00B26DB7">
        <w:rPr>
          <w:rFonts w:ascii="Calibri" w:hAnsi="Calibri"/>
          <w:noProof/>
          <w:lang w:val="en-GB"/>
        </w:rPr>
        <w:t>(6): p. 474-6.</w:t>
      </w:r>
      <w:bookmarkEnd w:id="18"/>
    </w:p>
    <w:p w14:paraId="79FE9F98" w14:textId="77777777" w:rsidR="00B26DB7" w:rsidRPr="00B26DB7" w:rsidRDefault="00B26DB7" w:rsidP="00B26DB7">
      <w:pPr>
        <w:spacing w:after="0" w:line="240" w:lineRule="auto"/>
        <w:ind w:left="720" w:hanging="720"/>
        <w:rPr>
          <w:rFonts w:ascii="Calibri" w:hAnsi="Calibri"/>
          <w:noProof/>
          <w:lang w:val="en-GB"/>
        </w:rPr>
      </w:pPr>
      <w:bookmarkStart w:id="19" w:name="_ENREF_2"/>
      <w:r w:rsidRPr="00B26DB7">
        <w:rPr>
          <w:rFonts w:ascii="Calibri" w:hAnsi="Calibri"/>
          <w:noProof/>
          <w:lang w:val="en-GB"/>
        </w:rPr>
        <w:t>2.</w:t>
      </w:r>
      <w:r w:rsidRPr="00B26DB7">
        <w:rPr>
          <w:rFonts w:ascii="Calibri" w:hAnsi="Calibri"/>
          <w:noProof/>
          <w:lang w:val="en-GB"/>
        </w:rPr>
        <w:tab/>
        <w:t xml:space="preserve">Hook, J., L. Millsopp, and E.A. Field, </w:t>
      </w:r>
      <w:r w:rsidRPr="00B26DB7">
        <w:rPr>
          <w:rFonts w:ascii="Calibri" w:hAnsi="Calibri"/>
          <w:i/>
          <w:noProof/>
          <w:lang w:val="en-GB"/>
        </w:rPr>
        <w:t>Warfarin and Drug Interactions: Prescribing Vigilance.</w:t>
      </w:r>
      <w:r w:rsidRPr="00B26DB7">
        <w:rPr>
          <w:rFonts w:ascii="Calibri" w:hAnsi="Calibri"/>
          <w:noProof/>
          <w:lang w:val="en-GB"/>
        </w:rPr>
        <w:t xml:space="preserve"> Dent Update, 2016. </w:t>
      </w:r>
      <w:r w:rsidRPr="00B26DB7">
        <w:rPr>
          <w:rFonts w:ascii="Calibri" w:hAnsi="Calibri"/>
          <w:b/>
          <w:noProof/>
          <w:lang w:val="en-GB"/>
        </w:rPr>
        <w:t>43</w:t>
      </w:r>
      <w:r w:rsidRPr="00B26DB7">
        <w:rPr>
          <w:rFonts w:ascii="Calibri" w:hAnsi="Calibri"/>
          <w:noProof/>
          <w:lang w:val="en-GB"/>
        </w:rPr>
        <w:t>(1): p. 34-6.</w:t>
      </w:r>
      <w:bookmarkEnd w:id="19"/>
    </w:p>
    <w:p w14:paraId="29AC9D29" w14:textId="77777777" w:rsidR="00B26DB7" w:rsidRPr="00B26DB7" w:rsidRDefault="00B26DB7" w:rsidP="00B26DB7">
      <w:pPr>
        <w:spacing w:after="0" w:line="240" w:lineRule="auto"/>
        <w:ind w:left="720" w:hanging="720"/>
        <w:rPr>
          <w:rFonts w:ascii="Calibri" w:hAnsi="Calibri"/>
          <w:noProof/>
          <w:lang w:val="en-GB"/>
        </w:rPr>
      </w:pPr>
      <w:bookmarkStart w:id="20" w:name="_ENREF_3"/>
      <w:r w:rsidRPr="00B26DB7">
        <w:rPr>
          <w:rFonts w:ascii="Calibri" w:hAnsi="Calibri"/>
          <w:noProof/>
          <w:lang w:val="en-GB"/>
        </w:rPr>
        <w:t>3.</w:t>
      </w:r>
      <w:r w:rsidRPr="00B26DB7">
        <w:rPr>
          <w:rFonts w:ascii="Calibri" w:hAnsi="Calibri"/>
          <w:noProof/>
          <w:lang w:val="en-GB"/>
        </w:rPr>
        <w:tab/>
        <w:t xml:space="preserve">De Pauw, A. and T. De Backer, </w:t>
      </w:r>
      <w:r w:rsidRPr="00B26DB7">
        <w:rPr>
          <w:rFonts w:ascii="Calibri" w:hAnsi="Calibri"/>
          <w:i/>
          <w:noProof/>
          <w:lang w:val="en-GB"/>
        </w:rPr>
        <w:t>Miconazole buccal gel and risk for systemic bleeding: how certain topical formula can interfere with anticoagulants.</w:t>
      </w:r>
      <w:r w:rsidRPr="00B26DB7">
        <w:rPr>
          <w:rFonts w:ascii="Calibri" w:hAnsi="Calibri"/>
          <w:noProof/>
          <w:lang w:val="en-GB"/>
        </w:rPr>
        <w:t xml:space="preserve"> Acta Clin Belg, 2015. </w:t>
      </w:r>
      <w:r w:rsidRPr="00B26DB7">
        <w:rPr>
          <w:rFonts w:ascii="Calibri" w:hAnsi="Calibri"/>
          <w:b/>
          <w:noProof/>
          <w:lang w:val="en-GB"/>
        </w:rPr>
        <w:t>70</w:t>
      </w:r>
      <w:r w:rsidRPr="00B26DB7">
        <w:rPr>
          <w:rFonts w:ascii="Calibri" w:hAnsi="Calibri"/>
          <w:noProof/>
          <w:lang w:val="en-GB"/>
        </w:rPr>
        <w:t>(2): p. 121-3.</w:t>
      </w:r>
      <w:bookmarkEnd w:id="20"/>
    </w:p>
    <w:p w14:paraId="2F38FCF7" w14:textId="77777777" w:rsidR="00B26DB7" w:rsidRPr="00B26DB7" w:rsidRDefault="00B26DB7" w:rsidP="00B26DB7">
      <w:pPr>
        <w:spacing w:after="0" w:line="240" w:lineRule="auto"/>
        <w:ind w:left="720" w:hanging="720"/>
        <w:rPr>
          <w:rFonts w:ascii="Calibri" w:hAnsi="Calibri"/>
          <w:noProof/>
          <w:lang w:val="en-GB"/>
        </w:rPr>
      </w:pPr>
      <w:bookmarkStart w:id="21" w:name="_ENREF_4"/>
      <w:r w:rsidRPr="00B26DB7">
        <w:rPr>
          <w:rFonts w:ascii="Calibri" w:hAnsi="Calibri"/>
          <w:noProof/>
          <w:lang w:val="en-GB"/>
        </w:rPr>
        <w:t>4.</w:t>
      </w:r>
      <w:r w:rsidRPr="00B26DB7">
        <w:rPr>
          <w:rFonts w:ascii="Calibri" w:hAnsi="Calibri"/>
          <w:noProof/>
          <w:lang w:val="en-GB"/>
        </w:rPr>
        <w:tab/>
        <w:t xml:space="preserve">Ufondu, C.C., et al., </w:t>
      </w:r>
      <w:r w:rsidRPr="00B26DB7">
        <w:rPr>
          <w:rFonts w:ascii="Calibri" w:hAnsi="Calibri"/>
          <w:i/>
          <w:noProof/>
          <w:lang w:val="en-GB"/>
        </w:rPr>
        <w:t>Warfarin and topical miconazole: the potential for a clinically significant interaction.</w:t>
      </w:r>
      <w:r w:rsidRPr="00B26DB7">
        <w:rPr>
          <w:rFonts w:ascii="Calibri" w:hAnsi="Calibri"/>
          <w:noProof/>
          <w:lang w:val="en-GB"/>
        </w:rPr>
        <w:t xml:space="preserve"> Ir J Med Sci, 2013. </w:t>
      </w:r>
      <w:r w:rsidRPr="00B26DB7">
        <w:rPr>
          <w:rFonts w:ascii="Calibri" w:hAnsi="Calibri"/>
          <w:b/>
          <w:noProof/>
          <w:lang w:val="en-GB"/>
        </w:rPr>
        <w:t>182</w:t>
      </w:r>
      <w:r w:rsidRPr="00B26DB7">
        <w:rPr>
          <w:rFonts w:ascii="Calibri" w:hAnsi="Calibri"/>
          <w:noProof/>
          <w:lang w:val="en-GB"/>
        </w:rPr>
        <w:t>(1): p. 153-4.</w:t>
      </w:r>
      <w:bookmarkEnd w:id="21"/>
    </w:p>
    <w:p w14:paraId="7145BCDF" w14:textId="77777777" w:rsidR="00B26DB7" w:rsidRPr="00B26DB7" w:rsidRDefault="00B26DB7" w:rsidP="00B26DB7">
      <w:pPr>
        <w:spacing w:after="0" w:line="240" w:lineRule="auto"/>
        <w:ind w:left="720" w:hanging="720"/>
        <w:rPr>
          <w:rFonts w:ascii="Calibri" w:hAnsi="Calibri"/>
          <w:noProof/>
          <w:lang w:val="en-GB"/>
        </w:rPr>
      </w:pPr>
      <w:bookmarkStart w:id="22" w:name="_ENREF_5"/>
      <w:r w:rsidRPr="00B26DB7">
        <w:rPr>
          <w:rFonts w:ascii="Calibri" w:hAnsi="Calibri"/>
          <w:noProof/>
          <w:lang w:val="en-GB"/>
        </w:rPr>
        <w:t>5.</w:t>
      </w:r>
      <w:r w:rsidRPr="00B26DB7">
        <w:rPr>
          <w:rFonts w:ascii="Calibri" w:hAnsi="Calibri"/>
          <w:noProof/>
          <w:lang w:val="en-GB"/>
        </w:rPr>
        <w:tab/>
        <w:t xml:space="preserve">McAvinchey, A.G. and B. Swinson, </w:t>
      </w:r>
      <w:r w:rsidRPr="00B26DB7">
        <w:rPr>
          <w:rFonts w:ascii="Calibri" w:hAnsi="Calibri"/>
          <w:i/>
          <w:noProof/>
          <w:lang w:val="en-GB"/>
        </w:rPr>
        <w:t>An interesting potential reaction to warfarin.</w:t>
      </w:r>
      <w:r w:rsidRPr="00B26DB7">
        <w:rPr>
          <w:rFonts w:ascii="Calibri" w:hAnsi="Calibri"/>
          <w:noProof/>
          <w:lang w:val="en-GB"/>
        </w:rPr>
        <w:t xml:space="preserve"> Dent Update, 2012. </w:t>
      </w:r>
      <w:r w:rsidRPr="00B26DB7">
        <w:rPr>
          <w:rFonts w:ascii="Calibri" w:hAnsi="Calibri"/>
          <w:b/>
          <w:noProof/>
          <w:lang w:val="en-GB"/>
        </w:rPr>
        <w:t>39</w:t>
      </w:r>
      <w:r w:rsidRPr="00B26DB7">
        <w:rPr>
          <w:rFonts w:ascii="Calibri" w:hAnsi="Calibri"/>
          <w:noProof/>
          <w:lang w:val="en-GB"/>
        </w:rPr>
        <w:t>(1): p. 33-4, 37.</w:t>
      </w:r>
      <w:bookmarkEnd w:id="22"/>
    </w:p>
    <w:p w14:paraId="0EB3E6E8" w14:textId="77777777" w:rsidR="00B26DB7" w:rsidRPr="00B26DB7" w:rsidRDefault="00B26DB7" w:rsidP="00B26DB7">
      <w:pPr>
        <w:spacing w:after="0" w:line="240" w:lineRule="auto"/>
        <w:ind w:left="720" w:hanging="720"/>
        <w:rPr>
          <w:rFonts w:ascii="Calibri" w:hAnsi="Calibri"/>
          <w:noProof/>
          <w:lang w:val="en-GB"/>
        </w:rPr>
      </w:pPr>
      <w:bookmarkStart w:id="23" w:name="_ENREF_6"/>
      <w:r w:rsidRPr="00B26DB7">
        <w:rPr>
          <w:rFonts w:ascii="Calibri" w:hAnsi="Calibri"/>
          <w:noProof/>
          <w:lang w:val="en-GB"/>
        </w:rPr>
        <w:t>6.</w:t>
      </w:r>
      <w:r w:rsidRPr="00B26DB7">
        <w:rPr>
          <w:rFonts w:ascii="Calibri" w:hAnsi="Calibri"/>
          <w:noProof/>
          <w:lang w:val="en-GB"/>
        </w:rPr>
        <w:tab/>
        <w:t xml:space="preserve">Thomas, J.L., et al., </w:t>
      </w:r>
      <w:r w:rsidRPr="00B26DB7">
        <w:rPr>
          <w:rFonts w:ascii="Calibri" w:hAnsi="Calibri"/>
          <w:i/>
          <w:noProof/>
          <w:lang w:val="en-GB"/>
        </w:rPr>
        <w:t>Hyperprothrombinemia as a result of a possible warfarin and intravaginal miconazole interaction.</w:t>
      </w:r>
      <w:r w:rsidRPr="00B26DB7">
        <w:rPr>
          <w:rFonts w:ascii="Calibri" w:hAnsi="Calibri"/>
          <w:noProof/>
          <w:lang w:val="en-GB"/>
        </w:rPr>
        <w:t xml:space="preserve"> South Med J, 2010. </w:t>
      </w:r>
      <w:r w:rsidRPr="00B26DB7">
        <w:rPr>
          <w:rFonts w:ascii="Calibri" w:hAnsi="Calibri"/>
          <w:b/>
          <w:noProof/>
          <w:lang w:val="en-GB"/>
        </w:rPr>
        <w:t>103</w:t>
      </w:r>
      <w:r w:rsidRPr="00B26DB7">
        <w:rPr>
          <w:rFonts w:ascii="Calibri" w:hAnsi="Calibri"/>
          <w:noProof/>
          <w:lang w:val="en-GB"/>
        </w:rPr>
        <w:t>(10): p. 1063-5.</w:t>
      </w:r>
      <w:bookmarkEnd w:id="23"/>
    </w:p>
    <w:p w14:paraId="4494694D" w14:textId="77777777" w:rsidR="00B26DB7" w:rsidRPr="00B26DB7" w:rsidRDefault="00B26DB7" w:rsidP="00B26DB7">
      <w:pPr>
        <w:spacing w:after="0" w:line="240" w:lineRule="auto"/>
        <w:ind w:left="720" w:hanging="720"/>
        <w:rPr>
          <w:rFonts w:ascii="Calibri" w:hAnsi="Calibri"/>
          <w:noProof/>
          <w:lang w:val="en-GB"/>
        </w:rPr>
      </w:pPr>
      <w:bookmarkStart w:id="24" w:name="_ENREF_7"/>
      <w:r w:rsidRPr="00B26DB7">
        <w:rPr>
          <w:rFonts w:ascii="Calibri" w:hAnsi="Calibri"/>
          <w:noProof/>
          <w:lang w:val="en-GB"/>
        </w:rPr>
        <w:t>7.</w:t>
      </w:r>
      <w:r w:rsidRPr="00B26DB7">
        <w:rPr>
          <w:rFonts w:ascii="Calibri" w:hAnsi="Calibri"/>
          <w:noProof/>
          <w:lang w:val="en-GB"/>
        </w:rPr>
        <w:tab/>
        <w:t xml:space="preserve">Morgan, L., </w:t>
      </w:r>
      <w:r w:rsidRPr="00B26DB7">
        <w:rPr>
          <w:rFonts w:ascii="Calibri" w:hAnsi="Calibri"/>
          <w:i/>
          <w:noProof/>
          <w:lang w:val="en-GB"/>
        </w:rPr>
        <w:t>Topical drug with systemic risk.</w:t>
      </w:r>
      <w:r w:rsidRPr="00B26DB7">
        <w:rPr>
          <w:rFonts w:ascii="Calibri" w:hAnsi="Calibri"/>
          <w:noProof/>
          <w:lang w:val="en-GB"/>
        </w:rPr>
        <w:t xml:space="preserve"> Australian Prescriber, 2003. </w:t>
      </w:r>
      <w:r w:rsidRPr="00B26DB7">
        <w:rPr>
          <w:rFonts w:ascii="Calibri" w:hAnsi="Calibri"/>
          <w:b/>
          <w:noProof/>
          <w:lang w:val="en-GB"/>
        </w:rPr>
        <w:t>26</w:t>
      </w:r>
      <w:r w:rsidRPr="00B26DB7">
        <w:rPr>
          <w:rFonts w:ascii="Calibri" w:hAnsi="Calibri"/>
          <w:noProof/>
          <w:lang w:val="en-GB"/>
        </w:rPr>
        <w:t>(2): p. 35.</w:t>
      </w:r>
      <w:bookmarkEnd w:id="24"/>
    </w:p>
    <w:p w14:paraId="53216118" w14:textId="77777777" w:rsidR="00B26DB7" w:rsidRPr="00B26DB7" w:rsidRDefault="00B26DB7" w:rsidP="00B26DB7">
      <w:pPr>
        <w:spacing w:after="0" w:line="240" w:lineRule="auto"/>
        <w:ind w:left="720" w:hanging="720"/>
        <w:rPr>
          <w:rFonts w:ascii="Calibri" w:hAnsi="Calibri"/>
          <w:noProof/>
          <w:lang w:val="en-GB"/>
        </w:rPr>
      </w:pPr>
      <w:bookmarkStart w:id="25" w:name="_ENREF_8"/>
      <w:r w:rsidRPr="00B26DB7">
        <w:rPr>
          <w:rFonts w:ascii="Calibri" w:hAnsi="Calibri"/>
          <w:noProof/>
          <w:lang w:val="en-GB"/>
        </w:rPr>
        <w:t>8.</w:t>
      </w:r>
      <w:r w:rsidRPr="00B26DB7">
        <w:rPr>
          <w:rFonts w:ascii="Calibri" w:hAnsi="Calibri"/>
          <w:noProof/>
          <w:lang w:val="en-GB"/>
        </w:rPr>
        <w:tab/>
        <w:t xml:space="preserve">Devaraj, A., et al., </w:t>
      </w:r>
      <w:r w:rsidRPr="00B26DB7">
        <w:rPr>
          <w:rFonts w:ascii="Calibri" w:hAnsi="Calibri"/>
          <w:i/>
          <w:noProof/>
          <w:lang w:val="en-GB"/>
        </w:rPr>
        <w:t>Interaction between warfarin and topical miconazole cream.</w:t>
      </w:r>
      <w:r w:rsidRPr="00B26DB7">
        <w:rPr>
          <w:rFonts w:ascii="Calibri" w:hAnsi="Calibri"/>
          <w:noProof/>
          <w:lang w:val="en-GB"/>
        </w:rPr>
        <w:t xml:space="preserve"> BMJ, 2002. </w:t>
      </w:r>
      <w:r w:rsidRPr="00B26DB7">
        <w:rPr>
          <w:rFonts w:ascii="Calibri" w:hAnsi="Calibri"/>
          <w:b/>
          <w:noProof/>
          <w:lang w:val="en-GB"/>
        </w:rPr>
        <w:t>325</w:t>
      </w:r>
      <w:r w:rsidRPr="00B26DB7">
        <w:rPr>
          <w:rFonts w:ascii="Calibri" w:hAnsi="Calibri"/>
          <w:noProof/>
          <w:lang w:val="en-GB"/>
        </w:rPr>
        <w:t>(7355): p. 77.</w:t>
      </w:r>
      <w:bookmarkEnd w:id="25"/>
    </w:p>
    <w:p w14:paraId="1E029C52" w14:textId="77777777" w:rsidR="00B26DB7" w:rsidRPr="00B26DB7" w:rsidRDefault="00B26DB7" w:rsidP="00B26DB7">
      <w:pPr>
        <w:spacing w:after="0" w:line="240" w:lineRule="auto"/>
        <w:ind w:left="720" w:hanging="720"/>
        <w:rPr>
          <w:rFonts w:ascii="Calibri" w:hAnsi="Calibri"/>
          <w:noProof/>
          <w:lang w:val="en-GB"/>
        </w:rPr>
      </w:pPr>
      <w:bookmarkStart w:id="26" w:name="_ENREF_9"/>
      <w:r w:rsidRPr="00B26DB7">
        <w:rPr>
          <w:rFonts w:ascii="Calibri" w:hAnsi="Calibri"/>
          <w:noProof/>
          <w:lang w:val="en-GB"/>
        </w:rPr>
        <w:t>9.</w:t>
      </w:r>
      <w:r w:rsidRPr="00B26DB7">
        <w:rPr>
          <w:rFonts w:ascii="Calibri" w:hAnsi="Calibri"/>
          <w:noProof/>
          <w:lang w:val="en-GB"/>
        </w:rPr>
        <w:tab/>
        <w:t xml:space="preserve">Thirion, D.J. and L.A. Zanetti, </w:t>
      </w:r>
      <w:r w:rsidRPr="00B26DB7">
        <w:rPr>
          <w:rFonts w:ascii="Calibri" w:hAnsi="Calibri"/>
          <w:i/>
          <w:noProof/>
          <w:lang w:val="en-GB"/>
        </w:rPr>
        <w:t>Potentiation of warfarin's hypoprothrombinemic effect with miconazole vaginal suppositories.</w:t>
      </w:r>
      <w:r w:rsidRPr="00B26DB7">
        <w:rPr>
          <w:rFonts w:ascii="Calibri" w:hAnsi="Calibri"/>
          <w:noProof/>
          <w:lang w:val="en-GB"/>
        </w:rPr>
        <w:t xml:space="preserve"> Pharmacotherapy, 2000. </w:t>
      </w:r>
      <w:r w:rsidRPr="00B26DB7">
        <w:rPr>
          <w:rFonts w:ascii="Calibri" w:hAnsi="Calibri"/>
          <w:b/>
          <w:noProof/>
          <w:lang w:val="en-GB"/>
        </w:rPr>
        <w:t>20</w:t>
      </w:r>
      <w:r w:rsidRPr="00B26DB7">
        <w:rPr>
          <w:rFonts w:ascii="Calibri" w:hAnsi="Calibri"/>
          <w:noProof/>
          <w:lang w:val="en-GB"/>
        </w:rPr>
        <w:t>(1): p. 98-9.</w:t>
      </w:r>
      <w:bookmarkEnd w:id="26"/>
    </w:p>
    <w:p w14:paraId="0C896981" w14:textId="77777777" w:rsidR="00B26DB7" w:rsidRPr="00B26DB7" w:rsidRDefault="00B26DB7" w:rsidP="00B26DB7">
      <w:pPr>
        <w:spacing w:after="0" w:line="240" w:lineRule="auto"/>
        <w:ind w:left="720" w:hanging="720"/>
        <w:rPr>
          <w:rFonts w:ascii="Calibri" w:hAnsi="Calibri"/>
          <w:noProof/>
          <w:lang w:val="en-GB"/>
        </w:rPr>
      </w:pPr>
      <w:bookmarkStart w:id="27" w:name="_ENREF_10"/>
      <w:r w:rsidRPr="00B26DB7">
        <w:rPr>
          <w:rFonts w:ascii="Calibri" w:hAnsi="Calibri"/>
          <w:noProof/>
          <w:lang w:val="en-GB"/>
        </w:rPr>
        <w:t>10.</w:t>
      </w:r>
      <w:r w:rsidRPr="00B26DB7">
        <w:rPr>
          <w:rFonts w:ascii="Calibri" w:hAnsi="Calibri"/>
          <w:noProof/>
          <w:lang w:val="en-GB"/>
        </w:rPr>
        <w:tab/>
        <w:t xml:space="preserve">Shenfield, G.M. and M. Page, </w:t>
      </w:r>
      <w:r w:rsidRPr="00B26DB7">
        <w:rPr>
          <w:rFonts w:ascii="Calibri" w:hAnsi="Calibri"/>
          <w:i/>
          <w:noProof/>
          <w:lang w:val="en-GB"/>
        </w:rPr>
        <w:t>Potentiation of warfarin action by miconazole oral gel.</w:t>
      </w:r>
      <w:r w:rsidRPr="00B26DB7">
        <w:rPr>
          <w:rFonts w:ascii="Calibri" w:hAnsi="Calibri"/>
          <w:noProof/>
          <w:lang w:val="en-GB"/>
        </w:rPr>
        <w:t xml:space="preserve"> Aust N Z J Med, 1991. </w:t>
      </w:r>
      <w:r w:rsidRPr="00B26DB7">
        <w:rPr>
          <w:rFonts w:ascii="Calibri" w:hAnsi="Calibri"/>
          <w:b/>
          <w:noProof/>
          <w:lang w:val="en-GB"/>
        </w:rPr>
        <w:t>21</w:t>
      </w:r>
      <w:r w:rsidRPr="00B26DB7">
        <w:rPr>
          <w:rFonts w:ascii="Calibri" w:hAnsi="Calibri"/>
          <w:noProof/>
          <w:lang w:val="en-GB"/>
        </w:rPr>
        <w:t>(6): p. 928.</w:t>
      </w:r>
      <w:bookmarkEnd w:id="27"/>
    </w:p>
    <w:p w14:paraId="2E3E3174" w14:textId="77777777" w:rsidR="00B26DB7" w:rsidRPr="00B26DB7" w:rsidRDefault="00B26DB7" w:rsidP="00B26DB7">
      <w:pPr>
        <w:spacing w:line="240" w:lineRule="auto"/>
        <w:ind w:left="720" w:hanging="720"/>
        <w:rPr>
          <w:rFonts w:ascii="Calibri" w:hAnsi="Calibri"/>
          <w:noProof/>
          <w:lang w:val="en-GB"/>
        </w:rPr>
      </w:pPr>
      <w:bookmarkStart w:id="28" w:name="_ENREF_11"/>
      <w:r w:rsidRPr="00B26DB7">
        <w:rPr>
          <w:rFonts w:ascii="Calibri" w:hAnsi="Calibri"/>
          <w:noProof/>
          <w:lang w:val="en-GB"/>
        </w:rPr>
        <w:t>11.</w:t>
      </w:r>
      <w:r w:rsidRPr="00B26DB7">
        <w:rPr>
          <w:rFonts w:ascii="Calibri" w:hAnsi="Calibri"/>
          <w:noProof/>
          <w:lang w:val="en-GB"/>
        </w:rPr>
        <w:tab/>
        <w:t xml:space="preserve">Hellfritzsch, M., et al., </w:t>
      </w:r>
      <w:r w:rsidRPr="00B26DB7">
        <w:rPr>
          <w:rFonts w:ascii="Calibri" w:hAnsi="Calibri"/>
          <w:i/>
          <w:noProof/>
          <w:lang w:val="en-GB"/>
        </w:rPr>
        <w:t>Topical Antimycotics for Oral Candidiasis in Warfarin Users.</w:t>
      </w:r>
      <w:r w:rsidRPr="00B26DB7">
        <w:rPr>
          <w:rFonts w:ascii="Calibri" w:hAnsi="Calibri"/>
          <w:noProof/>
          <w:lang w:val="en-GB"/>
        </w:rPr>
        <w:t xml:space="preserve"> Basic Clin Pharmacol Toxicol, 2017 doi:10.1111/bcpt.12722.</w:t>
      </w:r>
      <w:bookmarkEnd w:id="28"/>
    </w:p>
    <w:p w14:paraId="29AF4AF3" w14:textId="595508C4" w:rsidR="00B26DB7" w:rsidRDefault="00B26DB7" w:rsidP="00B26DB7">
      <w:pPr>
        <w:spacing w:line="240" w:lineRule="auto"/>
        <w:rPr>
          <w:rFonts w:ascii="Calibri" w:hAnsi="Calibri"/>
          <w:noProof/>
          <w:lang w:val="en-GB"/>
        </w:rPr>
      </w:pPr>
    </w:p>
    <w:p w14:paraId="1D755ECD" w14:textId="5D1FD3F1" w:rsidR="00764B55" w:rsidRPr="00D04BF1" w:rsidRDefault="00393A7C" w:rsidP="00764B55">
      <w:pPr>
        <w:rPr>
          <w:color w:val="FF0000"/>
          <w:lang w:val="en-GB"/>
        </w:rPr>
      </w:pPr>
      <w:r>
        <w:rPr>
          <w:color w:val="FF0000"/>
          <w:lang w:val="en-GB"/>
        </w:rPr>
        <w:fldChar w:fldCharType="end"/>
      </w:r>
      <w:bookmarkStart w:id="29" w:name="_GoBack"/>
      <w:bookmarkEnd w:id="29"/>
    </w:p>
    <w:sectPr w:rsidR="00764B55" w:rsidRPr="00D04BF1" w:rsidSect="006D1D41">
      <w:footerReference w:type="default" r:id="rId15"/>
      <w:head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B6927" w14:textId="77777777" w:rsidR="000107A1" w:rsidRDefault="000107A1" w:rsidP="00994D16">
      <w:pPr>
        <w:spacing w:after="0" w:line="240" w:lineRule="auto"/>
      </w:pPr>
      <w:r>
        <w:separator/>
      </w:r>
    </w:p>
  </w:endnote>
  <w:endnote w:type="continuationSeparator" w:id="0">
    <w:p w14:paraId="491C4E09" w14:textId="77777777" w:rsidR="000107A1" w:rsidRDefault="000107A1" w:rsidP="0099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4FA9F" w14:textId="77777777" w:rsidR="000107A1" w:rsidRDefault="000107A1">
    <w:pPr>
      <w:pStyle w:val="Footer"/>
      <w:jc w:val="right"/>
    </w:pPr>
  </w:p>
  <w:p w14:paraId="19AF66A7" w14:textId="77777777" w:rsidR="000107A1" w:rsidRDefault="000107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20759"/>
      <w:docPartObj>
        <w:docPartGallery w:val="Page Numbers (Bottom of Page)"/>
        <w:docPartUnique/>
      </w:docPartObj>
    </w:sdtPr>
    <w:sdtEndPr/>
    <w:sdtContent>
      <w:p w14:paraId="5622B132" w14:textId="77777777" w:rsidR="000107A1" w:rsidRDefault="000107A1">
        <w:pPr>
          <w:pStyle w:val="Footer"/>
          <w:jc w:val="right"/>
        </w:pPr>
        <w:r w:rsidRPr="00765D40">
          <w:rPr>
            <w:sz w:val="16"/>
            <w:szCs w:val="16"/>
          </w:rPr>
          <w:t xml:space="preserve">Page | </w:t>
        </w:r>
        <w:r w:rsidRPr="00765D40">
          <w:rPr>
            <w:sz w:val="16"/>
            <w:szCs w:val="16"/>
          </w:rPr>
          <w:fldChar w:fldCharType="begin"/>
        </w:r>
        <w:r w:rsidRPr="00765D40">
          <w:rPr>
            <w:sz w:val="16"/>
            <w:szCs w:val="16"/>
          </w:rPr>
          <w:instrText xml:space="preserve"> PAGE   \* MERGEFORMAT </w:instrText>
        </w:r>
        <w:r w:rsidRPr="00765D40">
          <w:rPr>
            <w:sz w:val="16"/>
            <w:szCs w:val="16"/>
          </w:rPr>
          <w:fldChar w:fldCharType="separate"/>
        </w:r>
        <w:r w:rsidR="00206404">
          <w:rPr>
            <w:noProof/>
            <w:sz w:val="16"/>
            <w:szCs w:val="16"/>
          </w:rPr>
          <w:t>13</w:t>
        </w:r>
        <w:r w:rsidRPr="00765D40">
          <w:rPr>
            <w:sz w:val="16"/>
            <w:szCs w:val="16"/>
          </w:rPr>
          <w:fldChar w:fldCharType="end"/>
        </w:r>
        <w:r>
          <w:t xml:space="preserve"> </w:t>
        </w:r>
      </w:p>
    </w:sdtContent>
  </w:sdt>
  <w:p w14:paraId="0BF4B617" w14:textId="77777777" w:rsidR="000107A1" w:rsidRDefault="000107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65401" w14:textId="77777777" w:rsidR="000107A1" w:rsidRDefault="000107A1" w:rsidP="00994D16">
      <w:pPr>
        <w:spacing w:after="0" w:line="240" w:lineRule="auto"/>
      </w:pPr>
      <w:r>
        <w:separator/>
      </w:r>
    </w:p>
  </w:footnote>
  <w:footnote w:type="continuationSeparator" w:id="0">
    <w:p w14:paraId="2C26512C" w14:textId="77777777" w:rsidR="000107A1" w:rsidRDefault="000107A1" w:rsidP="00994D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9B532" w14:textId="2702FD0C" w:rsidR="000107A1" w:rsidRPr="006D1D41" w:rsidRDefault="000107A1" w:rsidP="006D1D41">
    <w:pPr>
      <w:pStyle w:val="Header"/>
    </w:pPr>
    <w:r w:rsidRPr="00D04BF1">
      <w:rPr>
        <w:sz w:val="20"/>
        <w:szCs w:val="20"/>
        <w:lang w:val="en-GB"/>
      </w:rPr>
      <w:t xml:space="preserve">Medsafe consultation on </w:t>
    </w:r>
    <w:r>
      <w:rPr>
        <w:sz w:val="20"/>
        <w:szCs w:val="20"/>
        <w:lang w:val="en-GB"/>
      </w:rPr>
      <w:t>label statements database requirements</w:t>
    </w:r>
    <w:r w:rsidRPr="00D04BF1">
      <w:rPr>
        <w:sz w:val="20"/>
        <w:szCs w:val="20"/>
        <w:lang w:val="en-GB"/>
      </w:rPr>
      <w:t xml:space="preserve"> for miconazole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126BB" w14:textId="77777777" w:rsidR="000107A1" w:rsidRPr="006D1D41" w:rsidRDefault="000107A1">
    <w:pPr>
      <w:pStyle w:val="Header"/>
      <w:rPr>
        <w:sz w:val="20"/>
        <w:szCs w:val="20"/>
        <w:lang w:val="en-GB"/>
      </w:rPr>
    </w:pPr>
    <w:r>
      <w:rPr>
        <w:sz w:val="20"/>
        <w:szCs w:val="20"/>
        <w:lang w:val="en-GB"/>
      </w:rPr>
      <w:t>Medsafe consultation on LSD statements for miconazole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pt;height:155.25pt" o:bullet="t">
        <v:imagedata r:id="rId1" o:title="173897 Medsafe Logo-bullet"/>
      </v:shape>
    </w:pict>
  </w:numPicBullet>
  <w:numPicBullet w:numPicBulletId="1">
    <w:pict>
      <v:shape id="_x0000_i1029" type="#_x0000_t75" style="width:165pt;height:155.25pt" o:bullet="t">
        <v:imagedata r:id="rId2" o:title="173897 Medsafe Logo-bullet"/>
      </v:shape>
    </w:pict>
  </w:numPicBullet>
  <w:abstractNum w:abstractNumId="0">
    <w:nsid w:val="FFFFFF83"/>
    <w:multiLevelType w:val="singleLevel"/>
    <w:tmpl w:val="C32265A8"/>
    <w:lvl w:ilvl="0">
      <w:start w:val="1"/>
      <w:numFmt w:val="bullet"/>
      <w:pStyle w:val="ListBullet2"/>
      <w:lvlText w:val="–"/>
      <w:lvlJc w:val="left"/>
      <w:pPr>
        <w:ind w:left="643"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1">
    <w:nsid w:val="053C0489"/>
    <w:multiLevelType w:val="hybridMultilevel"/>
    <w:tmpl w:val="60A2BA36"/>
    <w:lvl w:ilvl="0" w:tplc="7EE20EBC">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6E35AAA"/>
    <w:multiLevelType w:val="hybridMultilevel"/>
    <w:tmpl w:val="C8CA7B4E"/>
    <w:lvl w:ilvl="0" w:tplc="7EE20EBC">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B65442B0"/>
    <w:styleLink w:val="List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59674E1"/>
    <w:multiLevelType w:val="hybridMultilevel"/>
    <w:tmpl w:val="6BBA53B0"/>
    <w:lvl w:ilvl="0" w:tplc="7EE20EBC">
      <w:start w:val="1"/>
      <w:numFmt w:val="bullet"/>
      <w:lvlText w:val=""/>
      <w:lvlPicBulletId w:val="1"/>
      <w:lvlJc w:val="left"/>
      <w:pPr>
        <w:ind w:left="765" w:hanging="360"/>
      </w:pPr>
      <w:rPr>
        <w:rFonts w:ascii="Symbol" w:hAnsi="Symbol" w:hint="default"/>
        <w:color w:val="auto"/>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6">
    <w:nsid w:val="39A76C9F"/>
    <w:multiLevelType w:val="hybridMultilevel"/>
    <w:tmpl w:val="D4CC5042"/>
    <w:lvl w:ilvl="0" w:tplc="7EE20EBC">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74CE55FA"/>
    <w:multiLevelType w:val="hybridMultilevel"/>
    <w:tmpl w:val="5C628B68"/>
    <w:lvl w:ilvl="0" w:tplc="7EE20EBC">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7"/>
  </w:num>
  <w:num w:numId="6">
    <w:abstractNumId w:val="5"/>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5w0fvrzf00z5aexes7vx9fy5dfxts2xz2vs&quot;&gt;My EndNote Library&lt;record-ids&gt;&lt;item&gt;1&lt;/item&gt;&lt;item&gt;3&lt;/item&gt;&lt;item&gt;4&lt;/item&gt;&lt;item&gt;5&lt;/item&gt;&lt;item&gt;6&lt;/item&gt;&lt;item&gt;7&lt;/item&gt;&lt;item&gt;8&lt;/item&gt;&lt;item&gt;9&lt;/item&gt;&lt;item&gt;10&lt;/item&gt;&lt;item&gt;11&lt;/item&gt;&lt;item&gt;13&lt;/item&gt;&lt;/record-ids&gt;&lt;/item&gt;&lt;/Libraries&gt;"/>
  </w:docVars>
  <w:rsids>
    <w:rsidRoot w:val="00994D16"/>
    <w:rsid w:val="0000168C"/>
    <w:rsid w:val="00001944"/>
    <w:rsid w:val="0000686E"/>
    <w:rsid w:val="000107A1"/>
    <w:rsid w:val="00010DB4"/>
    <w:rsid w:val="00011106"/>
    <w:rsid w:val="00011F60"/>
    <w:rsid w:val="0001729C"/>
    <w:rsid w:val="0002012B"/>
    <w:rsid w:val="00022CE0"/>
    <w:rsid w:val="00030F2B"/>
    <w:rsid w:val="00031507"/>
    <w:rsid w:val="0003586D"/>
    <w:rsid w:val="00037608"/>
    <w:rsid w:val="000409A6"/>
    <w:rsid w:val="00044A74"/>
    <w:rsid w:val="000619D9"/>
    <w:rsid w:val="00066962"/>
    <w:rsid w:val="00066E50"/>
    <w:rsid w:val="00067A83"/>
    <w:rsid w:val="0008186E"/>
    <w:rsid w:val="000947D2"/>
    <w:rsid w:val="00094956"/>
    <w:rsid w:val="00096BBA"/>
    <w:rsid w:val="0009738F"/>
    <w:rsid w:val="000A18FA"/>
    <w:rsid w:val="000A37EB"/>
    <w:rsid w:val="000A5B74"/>
    <w:rsid w:val="000A6040"/>
    <w:rsid w:val="000A6818"/>
    <w:rsid w:val="000B2A36"/>
    <w:rsid w:val="000B4DF6"/>
    <w:rsid w:val="000B4F59"/>
    <w:rsid w:val="000B66AE"/>
    <w:rsid w:val="000B6927"/>
    <w:rsid w:val="000C2462"/>
    <w:rsid w:val="000C4033"/>
    <w:rsid w:val="000C7ACB"/>
    <w:rsid w:val="000D3FE2"/>
    <w:rsid w:val="000F4625"/>
    <w:rsid w:val="000F5BC2"/>
    <w:rsid w:val="000F7BB0"/>
    <w:rsid w:val="001002BA"/>
    <w:rsid w:val="00101154"/>
    <w:rsid w:val="00101DB0"/>
    <w:rsid w:val="00102D27"/>
    <w:rsid w:val="00103157"/>
    <w:rsid w:val="00103C6E"/>
    <w:rsid w:val="00110093"/>
    <w:rsid w:val="00114F6B"/>
    <w:rsid w:val="00121356"/>
    <w:rsid w:val="001230E0"/>
    <w:rsid w:val="00124663"/>
    <w:rsid w:val="001425D1"/>
    <w:rsid w:val="001453F5"/>
    <w:rsid w:val="00150BBC"/>
    <w:rsid w:val="00151135"/>
    <w:rsid w:val="00153772"/>
    <w:rsid w:val="00157995"/>
    <w:rsid w:val="001711AF"/>
    <w:rsid w:val="0017201D"/>
    <w:rsid w:val="001736E2"/>
    <w:rsid w:val="001760A5"/>
    <w:rsid w:val="00176685"/>
    <w:rsid w:val="00176D44"/>
    <w:rsid w:val="00177BF8"/>
    <w:rsid w:val="00193315"/>
    <w:rsid w:val="00195027"/>
    <w:rsid w:val="001A1219"/>
    <w:rsid w:val="001A3604"/>
    <w:rsid w:val="001B485F"/>
    <w:rsid w:val="001B6543"/>
    <w:rsid w:val="001C06D7"/>
    <w:rsid w:val="001C3401"/>
    <w:rsid w:val="001C43B7"/>
    <w:rsid w:val="001C4DE4"/>
    <w:rsid w:val="001D33F3"/>
    <w:rsid w:val="001E3457"/>
    <w:rsid w:val="001E4450"/>
    <w:rsid w:val="001E7CEE"/>
    <w:rsid w:val="001F5F18"/>
    <w:rsid w:val="00202C7D"/>
    <w:rsid w:val="00202CF5"/>
    <w:rsid w:val="0020527E"/>
    <w:rsid w:val="00205371"/>
    <w:rsid w:val="00206404"/>
    <w:rsid w:val="00206A2A"/>
    <w:rsid w:val="00211F83"/>
    <w:rsid w:val="0022036D"/>
    <w:rsid w:val="002225F3"/>
    <w:rsid w:val="002269AB"/>
    <w:rsid w:val="00235957"/>
    <w:rsid w:val="002502D0"/>
    <w:rsid w:val="00255EC1"/>
    <w:rsid w:val="002715E4"/>
    <w:rsid w:val="00271653"/>
    <w:rsid w:val="002825F7"/>
    <w:rsid w:val="0029155B"/>
    <w:rsid w:val="002B6013"/>
    <w:rsid w:val="002B7C5B"/>
    <w:rsid w:val="002C0360"/>
    <w:rsid w:val="002C1EE4"/>
    <w:rsid w:val="002E1F94"/>
    <w:rsid w:val="002E35AB"/>
    <w:rsid w:val="002E5AB2"/>
    <w:rsid w:val="002E7041"/>
    <w:rsid w:val="002E7E96"/>
    <w:rsid w:val="002F35CB"/>
    <w:rsid w:val="00305A40"/>
    <w:rsid w:val="00307229"/>
    <w:rsid w:val="003100FE"/>
    <w:rsid w:val="0031746A"/>
    <w:rsid w:val="00320C1B"/>
    <w:rsid w:val="003221E6"/>
    <w:rsid w:val="00322C03"/>
    <w:rsid w:val="00325BA8"/>
    <w:rsid w:val="0032646C"/>
    <w:rsid w:val="00330348"/>
    <w:rsid w:val="003309F8"/>
    <w:rsid w:val="00367FFA"/>
    <w:rsid w:val="00370794"/>
    <w:rsid w:val="003719B2"/>
    <w:rsid w:val="00391237"/>
    <w:rsid w:val="00392522"/>
    <w:rsid w:val="00393A7C"/>
    <w:rsid w:val="00396068"/>
    <w:rsid w:val="003A02AA"/>
    <w:rsid w:val="003B3337"/>
    <w:rsid w:val="003B3353"/>
    <w:rsid w:val="003B549A"/>
    <w:rsid w:val="003B5B5F"/>
    <w:rsid w:val="003C3A6F"/>
    <w:rsid w:val="003D013C"/>
    <w:rsid w:val="003D0C2A"/>
    <w:rsid w:val="003D22D0"/>
    <w:rsid w:val="003E0742"/>
    <w:rsid w:val="003E07EB"/>
    <w:rsid w:val="003E0F36"/>
    <w:rsid w:val="003E2BCE"/>
    <w:rsid w:val="003E3736"/>
    <w:rsid w:val="003F32C8"/>
    <w:rsid w:val="00406D72"/>
    <w:rsid w:val="0041544D"/>
    <w:rsid w:val="00417072"/>
    <w:rsid w:val="00420950"/>
    <w:rsid w:val="004379DF"/>
    <w:rsid w:val="00441093"/>
    <w:rsid w:val="00442CFA"/>
    <w:rsid w:val="00450BD7"/>
    <w:rsid w:val="00452666"/>
    <w:rsid w:val="00454F1F"/>
    <w:rsid w:val="00454F35"/>
    <w:rsid w:val="00457ECA"/>
    <w:rsid w:val="00460FDC"/>
    <w:rsid w:val="00467360"/>
    <w:rsid w:val="0047302C"/>
    <w:rsid w:val="0047708D"/>
    <w:rsid w:val="00480E30"/>
    <w:rsid w:val="00491658"/>
    <w:rsid w:val="00491DBC"/>
    <w:rsid w:val="00493CB1"/>
    <w:rsid w:val="00494154"/>
    <w:rsid w:val="00495E83"/>
    <w:rsid w:val="00496E98"/>
    <w:rsid w:val="00497084"/>
    <w:rsid w:val="004A2899"/>
    <w:rsid w:val="004A46FF"/>
    <w:rsid w:val="004B148C"/>
    <w:rsid w:val="004B1650"/>
    <w:rsid w:val="004B3D44"/>
    <w:rsid w:val="004D1184"/>
    <w:rsid w:val="004D352E"/>
    <w:rsid w:val="004E3D74"/>
    <w:rsid w:val="004E4941"/>
    <w:rsid w:val="004F0786"/>
    <w:rsid w:val="004F12ED"/>
    <w:rsid w:val="004F1674"/>
    <w:rsid w:val="004F759D"/>
    <w:rsid w:val="00500AAE"/>
    <w:rsid w:val="00505EB8"/>
    <w:rsid w:val="0051590B"/>
    <w:rsid w:val="00532E0F"/>
    <w:rsid w:val="005402E2"/>
    <w:rsid w:val="00546BC3"/>
    <w:rsid w:val="00557534"/>
    <w:rsid w:val="00574269"/>
    <w:rsid w:val="0058791E"/>
    <w:rsid w:val="00587F0F"/>
    <w:rsid w:val="00596230"/>
    <w:rsid w:val="005A23F0"/>
    <w:rsid w:val="005A255A"/>
    <w:rsid w:val="005A395E"/>
    <w:rsid w:val="005A4E49"/>
    <w:rsid w:val="005A51E4"/>
    <w:rsid w:val="005B4E1F"/>
    <w:rsid w:val="005C0583"/>
    <w:rsid w:val="005C4FB3"/>
    <w:rsid w:val="005C59DD"/>
    <w:rsid w:val="005D1574"/>
    <w:rsid w:val="005E0A25"/>
    <w:rsid w:val="005F1B1F"/>
    <w:rsid w:val="005F256E"/>
    <w:rsid w:val="005F661E"/>
    <w:rsid w:val="006044CA"/>
    <w:rsid w:val="00604DC3"/>
    <w:rsid w:val="00605555"/>
    <w:rsid w:val="00614482"/>
    <w:rsid w:val="0062107C"/>
    <w:rsid w:val="00624112"/>
    <w:rsid w:val="006314C6"/>
    <w:rsid w:val="00631C61"/>
    <w:rsid w:val="00633541"/>
    <w:rsid w:val="00635064"/>
    <w:rsid w:val="006374BD"/>
    <w:rsid w:val="00644326"/>
    <w:rsid w:val="00646C64"/>
    <w:rsid w:val="006476D9"/>
    <w:rsid w:val="00655CA7"/>
    <w:rsid w:val="0066032C"/>
    <w:rsid w:val="00664D7E"/>
    <w:rsid w:val="006741E8"/>
    <w:rsid w:val="0067460F"/>
    <w:rsid w:val="0067689E"/>
    <w:rsid w:val="00676E94"/>
    <w:rsid w:val="0067715B"/>
    <w:rsid w:val="006820BE"/>
    <w:rsid w:val="00683716"/>
    <w:rsid w:val="0068799C"/>
    <w:rsid w:val="006907DF"/>
    <w:rsid w:val="00695743"/>
    <w:rsid w:val="00697825"/>
    <w:rsid w:val="006A1D42"/>
    <w:rsid w:val="006B704F"/>
    <w:rsid w:val="006C2F6F"/>
    <w:rsid w:val="006C5D4C"/>
    <w:rsid w:val="006D1D41"/>
    <w:rsid w:val="006D7249"/>
    <w:rsid w:val="006E5648"/>
    <w:rsid w:val="006F1D8B"/>
    <w:rsid w:val="006F1EF5"/>
    <w:rsid w:val="00703CF8"/>
    <w:rsid w:val="00707CBE"/>
    <w:rsid w:val="007228D2"/>
    <w:rsid w:val="00727A87"/>
    <w:rsid w:val="007309C4"/>
    <w:rsid w:val="0073295A"/>
    <w:rsid w:val="00735A5A"/>
    <w:rsid w:val="00736D5A"/>
    <w:rsid w:val="0074697C"/>
    <w:rsid w:val="00762947"/>
    <w:rsid w:val="00764B55"/>
    <w:rsid w:val="00765D40"/>
    <w:rsid w:val="00777585"/>
    <w:rsid w:val="00780C63"/>
    <w:rsid w:val="007830A3"/>
    <w:rsid w:val="00785336"/>
    <w:rsid w:val="00786745"/>
    <w:rsid w:val="00787D34"/>
    <w:rsid w:val="007957E8"/>
    <w:rsid w:val="00795DEE"/>
    <w:rsid w:val="007A0128"/>
    <w:rsid w:val="007A2336"/>
    <w:rsid w:val="007B3953"/>
    <w:rsid w:val="007B75A9"/>
    <w:rsid w:val="007C5979"/>
    <w:rsid w:val="007D19BE"/>
    <w:rsid w:val="007D2E9B"/>
    <w:rsid w:val="007E2849"/>
    <w:rsid w:val="007E7084"/>
    <w:rsid w:val="007E7885"/>
    <w:rsid w:val="007F02D3"/>
    <w:rsid w:val="007F6ACC"/>
    <w:rsid w:val="0080139E"/>
    <w:rsid w:val="00812CD0"/>
    <w:rsid w:val="008158B7"/>
    <w:rsid w:val="00825DA6"/>
    <w:rsid w:val="00841726"/>
    <w:rsid w:val="00852DBF"/>
    <w:rsid w:val="0085309E"/>
    <w:rsid w:val="00855A1C"/>
    <w:rsid w:val="00871A59"/>
    <w:rsid w:val="00891DAE"/>
    <w:rsid w:val="008934EF"/>
    <w:rsid w:val="00893E68"/>
    <w:rsid w:val="00893EB0"/>
    <w:rsid w:val="00895B83"/>
    <w:rsid w:val="008970ED"/>
    <w:rsid w:val="008A148C"/>
    <w:rsid w:val="008A57BC"/>
    <w:rsid w:val="008A6044"/>
    <w:rsid w:val="008C2593"/>
    <w:rsid w:val="008C32BC"/>
    <w:rsid w:val="008C6030"/>
    <w:rsid w:val="008D3C0A"/>
    <w:rsid w:val="008E1620"/>
    <w:rsid w:val="008E53E8"/>
    <w:rsid w:val="008E57D6"/>
    <w:rsid w:val="008E598E"/>
    <w:rsid w:val="008F11AF"/>
    <w:rsid w:val="008F4AA6"/>
    <w:rsid w:val="008F5E5B"/>
    <w:rsid w:val="008F6274"/>
    <w:rsid w:val="008F7E2A"/>
    <w:rsid w:val="009012A0"/>
    <w:rsid w:val="00902819"/>
    <w:rsid w:val="00913874"/>
    <w:rsid w:val="009138C8"/>
    <w:rsid w:val="0091531F"/>
    <w:rsid w:val="00915E62"/>
    <w:rsid w:val="00916268"/>
    <w:rsid w:val="00924996"/>
    <w:rsid w:val="00931DCF"/>
    <w:rsid w:val="00936BEB"/>
    <w:rsid w:val="00943E3B"/>
    <w:rsid w:val="00964FAC"/>
    <w:rsid w:val="00965013"/>
    <w:rsid w:val="009726E3"/>
    <w:rsid w:val="00972EAD"/>
    <w:rsid w:val="00973AA1"/>
    <w:rsid w:val="0097739D"/>
    <w:rsid w:val="00977B6D"/>
    <w:rsid w:val="00983181"/>
    <w:rsid w:val="00985BC6"/>
    <w:rsid w:val="009866FE"/>
    <w:rsid w:val="00987BB8"/>
    <w:rsid w:val="009901CC"/>
    <w:rsid w:val="00994D16"/>
    <w:rsid w:val="00996C06"/>
    <w:rsid w:val="009A0D08"/>
    <w:rsid w:val="009A6D78"/>
    <w:rsid w:val="009B1EF5"/>
    <w:rsid w:val="009B2178"/>
    <w:rsid w:val="009B26E2"/>
    <w:rsid w:val="009B31B3"/>
    <w:rsid w:val="009B6CA6"/>
    <w:rsid w:val="009D76A2"/>
    <w:rsid w:val="009D7BA5"/>
    <w:rsid w:val="009E39DB"/>
    <w:rsid w:val="009E5B84"/>
    <w:rsid w:val="009F73D4"/>
    <w:rsid w:val="00A02D3E"/>
    <w:rsid w:val="00A039C5"/>
    <w:rsid w:val="00A049CE"/>
    <w:rsid w:val="00A15486"/>
    <w:rsid w:val="00A22F3E"/>
    <w:rsid w:val="00A23114"/>
    <w:rsid w:val="00A27062"/>
    <w:rsid w:val="00A3178F"/>
    <w:rsid w:val="00A31D0D"/>
    <w:rsid w:val="00A35F7E"/>
    <w:rsid w:val="00A369E0"/>
    <w:rsid w:val="00A424BC"/>
    <w:rsid w:val="00A50D98"/>
    <w:rsid w:val="00A5234E"/>
    <w:rsid w:val="00A53E8B"/>
    <w:rsid w:val="00A5458E"/>
    <w:rsid w:val="00A54658"/>
    <w:rsid w:val="00A56C30"/>
    <w:rsid w:val="00A62235"/>
    <w:rsid w:val="00A70442"/>
    <w:rsid w:val="00A71214"/>
    <w:rsid w:val="00A748A6"/>
    <w:rsid w:val="00A820EA"/>
    <w:rsid w:val="00A85E65"/>
    <w:rsid w:val="00AA2921"/>
    <w:rsid w:val="00AA31F4"/>
    <w:rsid w:val="00AA71B3"/>
    <w:rsid w:val="00AA7E28"/>
    <w:rsid w:val="00AB69DB"/>
    <w:rsid w:val="00AC4127"/>
    <w:rsid w:val="00AE7700"/>
    <w:rsid w:val="00AE785D"/>
    <w:rsid w:val="00AF3065"/>
    <w:rsid w:val="00AF42B8"/>
    <w:rsid w:val="00B03AA8"/>
    <w:rsid w:val="00B13E02"/>
    <w:rsid w:val="00B14916"/>
    <w:rsid w:val="00B24015"/>
    <w:rsid w:val="00B26DB7"/>
    <w:rsid w:val="00B27090"/>
    <w:rsid w:val="00B27356"/>
    <w:rsid w:val="00B32330"/>
    <w:rsid w:val="00B32632"/>
    <w:rsid w:val="00B36B01"/>
    <w:rsid w:val="00B3713E"/>
    <w:rsid w:val="00B443A6"/>
    <w:rsid w:val="00B55BCA"/>
    <w:rsid w:val="00B56208"/>
    <w:rsid w:val="00B66448"/>
    <w:rsid w:val="00B668E6"/>
    <w:rsid w:val="00B729D9"/>
    <w:rsid w:val="00B74B72"/>
    <w:rsid w:val="00B76C03"/>
    <w:rsid w:val="00B82EF3"/>
    <w:rsid w:val="00B831FC"/>
    <w:rsid w:val="00B910A2"/>
    <w:rsid w:val="00B91721"/>
    <w:rsid w:val="00BA20C5"/>
    <w:rsid w:val="00BA713C"/>
    <w:rsid w:val="00BB2E2E"/>
    <w:rsid w:val="00BC2717"/>
    <w:rsid w:val="00BD0192"/>
    <w:rsid w:val="00BD3C6A"/>
    <w:rsid w:val="00BD56D6"/>
    <w:rsid w:val="00BE513E"/>
    <w:rsid w:val="00BF1814"/>
    <w:rsid w:val="00C0054B"/>
    <w:rsid w:val="00C0394D"/>
    <w:rsid w:val="00C0591E"/>
    <w:rsid w:val="00C05F03"/>
    <w:rsid w:val="00C07D02"/>
    <w:rsid w:val="00C27690"/>
    <w:rsid w:val="00C3685A"/>
    <w:rsid w:val="00C4088A"/>
    <w:rsid w:val="00C41779"/>
    <w:rsid w:val="00C43A20"/>
    <w:rsid w:val="00C4602F"/>
    <w:rsid w:val="00C52F0E"/>
    <w:rsid w:val="00C53E4E"/>
    <w:rsid w:val="00C6004C"/>
    <w:rsid w:val="00C7264E"/>
    <w:rsid w:val="00C8121C"/>
    <w:rsid w:val="00C8226D"/>
    <w:rsid w:val="00C92288"/>
    <w:rsid w:val="00C9282D"/>
    <w:rsid w:val="00CA4032"/>
    <w:rsid w:val="00CB070E"/>
    <w:rsid w:val="00CB2BF0"/>
    <w:rsid w:val="00CB50EB"/>
    <w:rsid w:val="00CC02A5"/>
    <w:rsid w:val="00CC4769"/>
    <w:rsid w:val="00CC4836"/>
    <w:rsid w:val="00CC7F45"/>
    <w:rsid w:val="00CD1250"/>
    <w:rsid w:val="00CD379B"/>
    <w:rsid w:val="00CD7A86"/>
    <w:rsid w:val="00CE219F"/>
    <w:rsid w:val="00CE30CD"/>
    <w:rsid w:val="00D011B5"/>
    <w:rsid w:val="00D02FA3"/>
    <w:rsid w:val="00D04BF1"/>
    <w:rsid w:val="00D256DF"/>
    <w:rsid w:val="00D26C78"/>
    <w:rsid w:val="00D339E7"/>
    <w:rsid w:val="00D35848"/>
    <w:rsid w:val="00D37DF1"/>
    <w:rsid w:val="00D40583"/>
    <w:rsid w:val="00D506B9"/>
    <w:rsid w:val="00D53757"/>
    <w:rsid w:val="00D6282D"/>
    <w:rsid w:val="00D65F01"/>
    <w:rsid w:val="00D704E6"/>
    <w:rsid w:val="00D73D6F"/>
    <w:rsid w:val="00D768EC"/>
    <w:rsid w:val="00D771E1"/>
    <w:rsid w:val="00D77C5E"/>
    <w:rsid w:val="00D84106"/>
    <w:rsid w:val="00D86610"/>
    <w:rsid w:val="00D874E9"/>
    <w:rsid w:val="00D9067D"/>
    <w:rsid w:val="00DA28CC"/>
    <w:rsid w:val="00DA68F5"/>
    <w:rsid w:val="00DB3465"/>
    <w:rsid w:val="00DD0251"/>
    <w:rsid w:val="00DD182D"/>
    <w:rsid w:val="00DD1B73"/>
    <w:rsid w:val="00DD4AB3"/>
    <w:rsid w:val="00DD69A8"/>
    <w:rsid w:val="00DE500E"/>
    <w:rsid w:val="00DE53C3"/>
    <w:rsid w:val="00DE7B22"/>
    <w:rsid w:val="00E01A1F"/>
    <w:rsid w:val="00E1615F"/>
    <w:rsid w:val="00E2429D"/>
    <w:rsid w:val="00E25855"/>
    <w:rsid w:val="00E307CA"/>
    <w:rsid w:val="00E31DFD"/>
    <w:rsid w:val="00E37488"/>
    <w:rsid w:val="00E378C2"/>
    <w:rsid w:val="00E40849"/>
    <w:rsid w:val="00E40DF7"/>
    <w:rsid w:val="00E44039"/>
    <w:rsid w:val="00E5228C"/>
    <w:rsid w:val="00E579DD"/>
    <w:rsid w:val="00E611C9"/>
    <w:rsid w:val="00E65157"/>
    <w:rsid w:val="00E679B8"/>
    <w:rsid w:val="00E73DF8"/>
    <w:rsid w:val="00E83902"/>
    <w:rsid w:val="00E87A9F"/>
    <w:rsid w:val="00E91EFD"/>
    <w:rsid w:val="00E94F3E"/>
    <w:rsid w:val="00E9690A"/>
    <w:rsid w:val="00EA5C4A"/>
    <w:rsid w:val="00EA6B85"/>
    <w:rsid w:val="00EA721F"/>
    <w:rsid w:val="00EB4B81"/>
    <w:rsid w:val="00EB5473"/>
    <w:rsid w:val="00EB6550"/>
    <w:rsid w:val="00EC0BAF"/>
    <w:rsid w:val="00EC5960"/>
    <w:rsid w:val="00ED5071"/>
    <w:rsid w:val="00EE5685"/>
    <w:rsid w:val="00EE79E3"/>
    <w:rsid w:val="00EF260D"/>
    <w:rsid w:val="00EF310F"/>
    <w:rsid w:val="00EF4B86"/>
    <w:rsid w:val="00EF4B8E"/>
    <w:rsid w:val="00EF5B7A"/>
    <w:rsid w:val="00F0498C"/>
    <w:rsid w:val="00F15F26"/>
    <w:rsid w:val="00F16EBA"/>
    <w:rsid w:val="00F31B78"/>
    <w:rsid w:val="00F37B36"/>
    <w:rsid w:val="00F42B85"/>
    <w:rsid w:val="00F4371A"/>
    <w:rsid w:val="00F448F0"/>
    <w:rsid w:val="00F65E25"/>
    <w:rsid w:val="00F668F9"/>
    <w:rsid w:val="00F75293"/>
    <w:rsid w:val="00F7560E"/>
    <w:rsid w:val="00FA071C"/>
    <w:rsid w:val="00FA150B"/>
    <w:rsid w:val="00FA2DB0"/>
    <w:rsid w:val="00FB366D"/>
    <w:rsid w:val="00FB3F84"/>
    <w:rsid w:val="00FB42ED"/>
    <w:rsid w:val="00FC275B"/>
    <w:rsid w:val="00FC3792"/>
    <w:rsid w:val="00FC388A"/>
    <w:rsid w:val="00FC3D4A"/>
    <w:rsid w:val="00FD447E"/>
    <w:rsid w:val="00FD7002"/>
    <w:rsid w:val="00FE2190"/>
    <w:rsid w:val="00FF1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4BF9C"/>
  <w15:docId w15:val="{74258956-0689-4D24-8352-2C17AB978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0BE"/>
    <w:rPr>
      <w:rFonts w:asciiTheme="minorHAnsi" w:hAnsiTheme="minorHAnsi"/>
      <w:sz w:val="22"/>
    </w:rPr>
  </w:style>
  <w:style w:type="paragraph" w:styleId="Heading1">
    <w:name w:val="heading 1"/>
    <w:basedOn w:val="Normal"/>
    <w:next w:val="Normal"/>
    <w:link w:val="Heading1Char"/>
    <w:uiPriority w:val="9"/>
    <w:qFormat/>
    <w:rsid w:val="00B668E6"/>
    <w:pPr>
      <w:keepNext/>
      <w:keepLines/>
      <w:spacing w:before="360" w:after="0"/>
      <w:outlineLvl w:val="0"/>
    </w:pPr>
    <w:rPr>
      <w:rFonts w:asciiTheme="majorHAnsi" w:eastAsiaTheme="majorEastAsia" w:hAnsiTheme="majorHAnsi" w:cstheme="majorBidi"/>
      <w:b/>
      <w:bCs/>
      <w:color w:val="002060"/>
      <w:sz w:val="28"/>
      <w:szCs w:val="28"/>
      <w:lang w:val="en-GB"/>
    </w:rPr>
  </w:style>
  <w:style w:type="paragraph" w:styleId="Heading2">
    <w:name w:val="heading 2"/>
    <w:basedOn w:val="Normal"/>
    <w:next w:val="Normal"/>
    <w:link w:val="Heading2Char"/>
    <w:uiPriority w:val="9"/>
    <w:unhideWhenUsed/>
    <w:qFormat/>
    <w:rsid w:val="00E378C2"/>
    <w:pPr>
      <w:keepNext/>
      <w:keepLines/>
      <w:spacing w:before="200" w:after="0"/>
      <w:outlineLvl w:val="1"/>
    </w:pPr>
    <w:rPr>
      <w:rFonts w:asciiTheme="majorHAnsi" w:eastAsiaTheme="majorEastAsia" w:hAnsiTheme="majorHAnsi" w:cstheme="majorBidi"/>
      <w:b/>
      <w:bCs/>
      <w:color w:val="7030A0"/>
      <w:sz w:val="26"/>
      <w:szCs w:val="26"/>
      <w:lang w:val="en-AU"/>
    </w:rPr>
  </w:style>
  <w:style w:type="paragraph" w:styleId="Heading3">
    <w:name w:val="heading 3"/>
    <w:basedOn w:val="Normal"/>
    <w:next w:val="Normal"/>
    <w:link w:val="Heading3Char"/>
    <w:uiPriority w:val="9"/>
    <w:unhideWhenUsed/>
    <w:qFormat/>
    <w:rsid w:val="00D04BF1"/>
    <w:pPr>
      <w:keepNext/>
      <w:keepLines/>
      <w:spacing w:before="200" w:after="0"/>
      <w:outlineLvl w:val="2"/>
    </w:pPr>
    <w:rPr>
      <w:rFonts w:asciiTheme="majorHAnsi" w:eastAsiaTheme="majorEastAsia" w:hAnsiTheme="majorHAnsi" w:cstheme="majorBidi"/>
      <w:b/>
      <w:bCs/>
      <w:color w:val="3B8585"/>
    </w:rPr>
  </w:style>
  <w:style w:type="paragraph" w:styleId="Heading4">
    <w:name w:val="heading 4"/>
    <w:basedOn w:val="Normal"/>
    <w:next w:val="Normal"/>
    <w:link w:val="Heading4Char"/>
    <w:uiPriority w:val="9"/>
    <w:unhideWhenUsed/>
    <w:qFormat/>
    <w:rsid w:val="00697825"/>
    <w:pPr>
      <w:keepNext/>
      <w:keepLines/>
      <w:spacing w:before="200" w:after="0"/>
      <w:outlineLvl w:val="3"/>
    </w:pPr>
    <w:rPr>
      <w:rFonts w:asciiTheme="majorHAnsi" w:eastAsiaTheme="majorEastAsia" w:hAnsiTheme="majorHAnsi" w:cstheme="majorBidi"/>
      <w:b/>
      <w:bCs/>
      <w:i/>
      <w:iCs/>
      <w:color w:val="94C6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8E6"/>
    <w:rPr>
      <w:rFonts w:asciiTheme="majorHAnsi" w:eastAsiaTheme="majorEastAsia" w:hAnsiTheme="majorHAnsi" w:cstheme="majorBidi"/>
      <w:b/>
      <w:bCs/>
      <w:color w:val="002060"/>
      <w:sz w:val="28"/>
      <w:szCs w:val="28"/>
      <w:lang w:val="en-GB"/>
    </w:rPr>
  </w:style>
  <w:style w:type="character" w:customStyle="1" w:styleId="Heading2Char">
    <w:name w:val="Heading 2 Char"/>
    <w:basedOn w:val="DefaultParagraphFont"/>
    <w:link w:val="Heading2"/>
    <w:uiPriority w:val="9"/>
    <w:rsid w:val="00E378C2"/>
    <w:rPr>
      <w:rFonts w:asciiTheme="majorHAnsi" w:eastAsiaTheme="majorEastAsia" w:hAnsiTheme="majorHAnsi" w:cstheme="majorBidi"/>
      <w:b/>
      <w:bCs/>
      <w:color w:val="7030A0"/>
      <w:sz w:val="26"/>
      <w:szCs w:val="26"/>
      <w:lang w:val="en-AU"/>
    </w:rPr>
  </w:style>
  <w:style w:type="paragraph" w:styleId="FootnoteText">
    <w:name w:val="footnote text"/>
    <w:basedOn w:val="Normal"/>
    <w:link w:val="FootnoteTextChar"/>
    <w:uiPriority w:val="99"/>
    <w:semiHidden/>
    <w:unhideWhenUsed/>
    <w:rsid w:val="00994D16"/>
    <w:pPr>
      <w:spacing w:after="0" w:line="240" w:lineRule="auto"/>
    </w:pPr>
    <w:rPr>
      <w:rFonts w:eastAsiaTheme="minorEastAsia"/>
      <w:sz w:val="20"/>
      <w:szCs w:val="20"/>
      <w:lang w:val="en-GB" w:eastAsia="en-GB"/>
    </w:rPr>
  </w:style>
  <w:style w:type="character" w:customStyle="1" w:styleId="FootnoteTextChar">
    <w:name w:val="Footnote Text Char"/>
    <w:basedOn w:val="DefaultParagraphFont"/>
    <w:link w:val="FootnoteText"/>
    <w:uiPriority w:val="99"/>
    <w:semiHidden/>
    <w:rsid w:val="00994D16"/>
    <w:rPr>
      <w:rFonts w:asciiTheme="minorHAnsi" w:eastAsiaTheme="minorEastAsia" w:hAnsiTheme="minorHAnsi"/>
      <w:sz w:val="20"/>
      <w:szCs w:val="20"/>
      <w:lang w:val="en-GB" w:eastAsia="en-GB"/>
    </w:rPr>
  </w:style>
  <w:style w:type="character" w:styleId="FootnoteReference">
    <w:name w:val="footnote reference"/>
    <w:basedOn w:val="DefaultParagraphFont"/>
    <w:uiPriority w:val="99"/>
    <w:semiHidden/>
    <w:unhideWhenUsed/>
    <w:rsid w:val="00994D16"/>
    <w:rPr>
      <w:vertAlign w:val="superscript"/>
    </w:rPr>
  </w:style>
  <w:style w:type="paragraph" w:styleId="BalloonText">
    <w:name w:val="Balloon Text"/>
    <w:basedOn w:val="Normal"/>
    <w:link w:val="BalloonTextChar"/>
    <w:uiPriority w:val="99"/>
    <w:semiHidden/>
    <w:unhideWhenUsed/>
    <w:rsid w:val="00A54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58E"/>
    <w:rPr>
      <w:rFonts w:ascii="Tahoma" w:hAnsi="Tahoma" w:cs="Tahoma"/>
      <w:sz w:val="16"/>
      <w:szCs w:val="16"/>
    </w:rPr>
  </w:style>
  <w:style w:type="paragraph" w:styleId="Caption">
    <w:name w:val="caption"/>
    <w:basedOn w:val="Normal"/>
    <w:next w:val="Normal"/>
    <w:uiPriority w:val="35"/>
    <w:unhideWhenUsed/>
    <w:qFormat/>
    <w:rsid w:val="00B668E6"/>
    <w:pPr>
      <w:spacing w:line="240" w:lineRule="auto"/>
    </w:pPr>
    <w:rPr>
      <w:b/>
      <w:bCs/>
      <w:color w:val="7030A0"/>
      <w:sz w:val="20"/>
      <w:szCs w:val="18"/>
    </w:rPr>
  </w:style>
  <w:style w:type="paragraph" w:styleId="ListParagraph">
    <w:name w:val="List Paragraph"/>
    <w:basedOn w:val="Normal"/>
    <w:uiPriority w:val="34"/>
    <w:qFormat/>
    <w:rsid w:val="00457ECA"/>
    <w:pPr>
      <w:ind w:left="720"/>
      <w:contextualSpacing/>
    </w:pPr>
  </w:style>
  <w:style w:type="paragraph" w:styleId="Title">
    <w:name w:val="Title"/>
    <w:basedOn w:val="Normal"/>
    <w:next w:val="Normal"/>
    <w:link w:val="TitleChar"/>
    <w:uiPriority w:val="10"/>
    <w:qFormat/>
    <w:rsid w:val="00457ECA"/>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457ECA"/>
    <w:rPr>
      <w:rFonts w:asciiTheme="majorHAnsi" w:eastAsiaTheme="majorEastAsia" w:hAnsiTheme="majorHAnsi" w:cstheme="majorBidi"/>
      <w:color w:val="2E2D21" w:themeColor="text2" w:themeShade="BF"/>
      <w:spacing w:val="5"/>
      <w:kern w:val="28"/>
      <w:sz w:val="52"/>
      <w:szCs w:val="52"/>
    </w:rPr>
  </w:style>
  <w:style w:type="character" w:customStyle="1" w:styleId="Heading3Char">
    <w:name w:val="Heading 3 Char"/>
    <w:basedOn w:val="DefaultParagraphFont"/>
    <w:link w:val="Heading3"/>
    <w:uiPriority w:val="9"/>
    <w:rsid w:val="00D04BF1"/>
    <w:rPr>
      <w:rFonts w:asciiTheme="majorHAnsi" w:eastAsiaTheme="majorEastAsia" w:hAnsiTheme="majorHAnsi" w:cstheme="majorBidi"/>
      <w:b/>
      <w:bCs/>
      <w:color w:val="3B8585"/>
      <w:sz w:val="22"/>
    </w:rPr>
  </w:style>
  <w:style w:type="table" w:styleId="TableGrid">
    <w:name w:val="Table Grid"/>
    <w:basedOn w:val="TableNormal"/>
    <w:uiPriority w:val="59"/>
    <w:rsid w:val="006978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97825"/>
    <w:rPr>
      <w:rFonts w:asciiTheme="majorHAnsi" w:eastAsiaTheme="majorEastAsia" w:hAnsiTheme="majorHAnsi" w:cstheme="majorBidi"/>
      <w:b/>
      <w:bCs/>
      <w:i/>
      <w:iCs/>
      <w:color w:val="94C600" w:themeColor="accent1"/>
    </w:rPr>
  </w:style>
  <w:style w:type="character" w:styleId="CommentReference">
    <w:name w:val="annotation reference"/>
    <w:basedOn w:val="DefaultParagraphFont"/>
    <w:uiPriority w:val="99"/>
    <w:semiHidden/>
    <w:unhideWhenUsed/>
    <w:rsid w:val="00780C63"/>
    <w:rPr>
      <w:sz w:val="16"/>
      <w:szCs w:val="16"/>
    </w:rPr>
  </w:style>
  <w:style w:type="paragraph" w:styleId="CommentText">
    <w:name w:val="annotation text"/>
    <w:basedOn w:val="Normal"/>
    <w:link w:val="CommentTextChar"/>
    <w:uiPriority w:val="99"/>
    <w:semiHidden/>
    <w:unhideWhenUsed/>
    <w:rsid w:val="00780C63"/>
    <w:pPr>
      <w:spacing w:line="240" w:lineRule="auto"/>
    </w:pPr>
    <w:rPr>
      <w:sz w:val="20"/>
      <w:szCs w:val="20"/>
    </w:rPr>
  </w:style>
  <w:style w:type="character" w:customStyle="1" w:styleId="CommentTextChar">
    <w:name w:val="Comment Text Char"/>
    <w:basedOn w:val="DefaultParagraphFont"/>
    <w:link w:val="CommentText"/>
    <w:uiPriority w:val="99"/>
    <w:semiHidden/>
    <w:rsid w:val="00780C63"/>
    <w:rPr>
      <w:sz w:val="20"/>
      <w:szCs w:val="20"/>
    </w:rPr>
  </w:style>
  <w:style w:type="paragraph" w:styleId="CommentSubject">
    <w:name w:val="annotation subject"/>
    <w:basedOn w:val="CommentText"/>
    <w:next w:val="CommentText"/>
    <w:link w:val="CommentSubjectChar"/>
    <w:uiPriority w:val="99"/>
    <w:semiHidden/>
    <w:unhideWhenUsed/>
    <w:rsid w:val="00780C63"/>
    <w:rPr>
      <w:b/>
      <w:bCs/>
    </w:rPr>
  </w:style>
  <w:style w:type="character" w:customStyle="1" w:styleId="CommentSubjectChar">
    <w:name w:val="Comment Subject Char"/>
    <w:basedOn w:val="CommentTextChar"/>
    <w:link w:val="CommentSubject"/>
    <w:uiPriority w:val="99"/>
    <w:semiHidden/>
    <w:rsid w:val="00780C63"/>
    <w:rPr>
      <w:b/>
      <w:bCs/>
      <w:sz w:val="20"/>
      <w:szCs w:val="20"/>
    </w:rPr>
  </w:style>
  <w:style w:type="paragraph" w:styleId="Header">
    <w:name w:val="header"/>
    <w:basedOn w:val="Normal"/>
    <w:link w:val="HeaderChar"/>
    <w:uiPriority w:val="99"/>
    <w:unhideWhenUsed/>
    <w:rsid w:val="00505E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EB8"/>
  </w:style>
  <w:style w:type="paragraph" w:styleId="Footer">
    <w:name w:val="footer"/>
    <w:basedOn w:val="Normal"/>
    <w:link w:val="FooterChar"/>
    <w:uiPriority w:val="99"/>
    <w:unhideWhenUsed/>
    <w:rsid w:val="00505E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EB8"/>
  </w:style>
  <w:style w:type="character" w:styleId="Hyperlink">
    <w:name w:val="Hyperlink"/>
    <w:basedOn w:val="DefaultParagraphFont"/>
    <w:uiPriority w:val="99"/>
    <w:unhideWhenUsed/>
    <w:rsid w:val="00F75293"/>
    <w:rPr>
      <w:color w:val="E68200" w:themeColor="hyperlink"/>
      <w:u w:val="single"/>
    </w:rPr>
  </w:style>
  <w:style w:type="paragraph" w:styleId="NormalWeb">
    <w:name w:val="Normal (Web)"/>
    <w:basedOn w:val="Normal"/>
    <w:uiPriority w:val="99"/>
    <w:unhideWhenUsed/>
    <w:rsid w:val="00F75293"/>
    <w:pPr>
      <w:spacing w:before="100" w:beforeAutospacing="1" w:after="100" w:afterAutospacing="1" w:line="240" w:lineRule="auto"/>
    </w:pPr>
    <w:rPr>
      <w:rFonts w:ascii="Times New Roman" w:eastAsia="Times New Roman" w:hAnsi="Times New Roman" w:cs="Times New Roman"/>
      <w:szCs w:val="24"/>
      <w:lang w:val="en-AU" w:eastAsia="en-AU"/>
    </w:rPr>
  </w:style>
  <w:style w:type="paragraph" w:styleId="Revision">
    <w:name w:val="Revision"/>
    <w:hidden/>
    <w:uiPriority w:val="99"/>
    <w:semiHidden/>
    <w:rsid w:val="00825DA6"/>
    <w:pPr>
      <w:spacing w:after="0" w:line="240" w:lineRule="auto"/>
    </w:pPr>
  </w:style>
  <w:style w:type="character" w:styleId="FollowedHyperlink">
    <w:name w:val="FollowedHyperlink"/>
    <w:basedOn w:val="DefaultParagraphFont"/>
    <w:uiPriority w:val="99"/>
    <w:semiHidden/>
    <w:unhideWhenUsed/>
    <w:rsid w:val="00EC5960"/>
    <w:rPr>
      <w:color w:val="FFA94A" w:themeColor="followedHyperlink"/>
      <w:u w:val="single"/>
    </w:rPr>
  </w:style>
  <w:style w:type="table" w:styleId="MediumList1-Accent3">
    <w:name w:val="Medium List 1 Accent 3"/>
    <w:basedOn w:val="TableNormal"/>
    <w:uiPriority w:val="65"/>
    <w:rsid w:val="00FC3D4A"/>
    <w:pPr>
      <w:spacing w:after="0" w:line="240" w:lineRule="auto"/>
    </w:pPr>
    <w:rPr>
      <w:rFonts w:asciiTheme="minorHAnsi" w:eastAsiaTheme="minorEastAsia" w:hAnsiTheme="minorHAnsi"/>
      <w:color w:val="000000" w:themeColor="text1"/>
      <w:sz w:val="22"/>
      <w:lang w:val="en-GB" w:eastAsia="en-GB"/>
    </w:rPr>
    <w:tblPr>
      <w:tblStyleRowBandSize w:val="1"/>
      <w:tblStyleColBandSize w:val="1"/>
      <w:tblInd w:w="0" w:type="dxa"/>
      <w:tblBorders>
        <w:top w:val="single" w:sz="8" w:space="0" w:color="FF6700" w:themeColor="accent3"/>
        <w:bottom w:val="single" w:sz="8" w:space="0" w:color="FF670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6700" w:themeColor="accent3"/>
        </w:tcBorders>
      </w:tcPr>
    </w:tblStylePr>
    <w:tblStylePr w:type="lastRow">
      <w:rPr>
        <w:b/>
        <w:bCs/>
        <w:color w:val="3E3D2D" w:themeColor="text2"/>
      </w:rPr>
      <w:tblPr/>
      <w:tcPr>
        <w:tcBorders>
          <w:top w:val="single" w:sz="8" w:space="0" w:color="FF6700" w:themeColor="accent3"/>
          <w:bottom w:val="single" w:sz="8" w:space="0" w:color="FF6700" w:themeColor="accent3"/>
        </w:tcBorders>
      </w:tcPr>
    </w:tblStylePr>
    <w:tblStylePr w:type="firstCol">
      <w:rPr>
        <w:b/>
        <w:bCs/>
      </w:rPr>
    </w:tblStylePr>
    <w:tblStylePr w:type="lastCol">
      <w:rPr>
        <w:b/>
        <w:bCs/>
      </w:rPr>
      <w:tblPr/>
      <w:tcPr>
        <w:tcBorders>
          <w:top w:val="single" w:sz="8" w:space="0" w:color="FF6700" w:themeColor="accent3"/>
          <w:bottom w:val="single" w:sz="8" w:space="0" w:color="FF6700" w:themeColor="accent3"/>
        </w:tcBorders>
      </w:tcPr>
    </w:tblStylePr>
    <w:tblStylePr w:type="band1Vert">
      <w:tblPr/>
      <w:tcPr>
        <w:shd w:val="clear" w:color="auto" w:fill="FFD9C0" w:themeFill="accent3" w:themeFillTint="3F"/>
      </w:tcPr>
    </w:tblStylePr>
    <w:tblStylePr w:type="band1Horz">
      <w:tblPr/>
      <w:tcPr>
        <w:shd w:val="clear" w:color="auto" w:fill="FFD9C0" w:themeFill="accent3" w:themeFillTint="3F"/>
      </w:tcPr>
    </w:tblStylePr>
  </w:style>
  <w:style w:type="table" w:styleId="MediumGrid2-Accent4">
    <w:name w:val="Medium Grid 2 Accent 4"/>
    <w:basedOn w:val="TableNormal"/>
    <w:uiPriority w:val="68"/>
    <w:rsid w:val="00D5375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09465" w:themeColor="accent4"/>
        <w:left w:val="single" w:sz="8" w:space="0" w:color="909465" w:themeColor="accent4"/>
        <w:bottom w:val="single" w:sz="8" w:space="0" w:color="909465" w:themeColor="accent4"/>
        <w:right w:val="single" w:sz="8" w:space="0" w:color="909465" w:themeColor="accent4"/>
        <w:insideH w:val="single" w:sz="8" w:space="0" w:color="909465" w:themeColor="accent4"/>
        <w:insideV w:val="single" w:sz="8" w:space="0" w:color="909465" w:themeColor="accent4"/>
      </w:tblBorders>
      <w:tblCellMar>
        <w:top w:w="0" w:type="dxa"/>
        <w:left w:w="108" w:type="dxa"/>
        <w:bottom w:w="0" w:type="dxa"/>
        <w:right w:w="108" w:type="dxa"/>
      </w:tblCellMar>
    </w:tblPr>
    <w:tcPr>
      <w:shd w:val="clear" w:color="auto" w:fill="E3E4D8" w:themeFill="accent4" w:themeFillTint="3F"/>
    </w:tcPr>
    <w:tblStylePr w:type="firstRow">
      <w:rPr>
        <w:b/>
        <w:bCs/>
        <w:color w:val="000000" w:themeColor="text1"/>
      </w:rPr>
      <w:tblPr/>
      <w:tcPr>
        <w:shd w:val="clear" w:color="auto" w:fill="F4F4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DF" w:themeFill="accent4" w:themeFillTint="33"/>
      </w:tcPr>
    </w:tblStylePr>
    <w:tblStylePr w:type="band1Vert">
      <w:tblPr/>
      <w:tcPr>
        <w:shd w:val="clear" w:color="auto" w:fill="C8CAB1" w:themeFill="accent4" w:themeFillTint="7F"/>
      </w:tcPr>
    </w:tblStylePr>
    <w:tblStylePr w:type="band1Horz">
      <w:tblPr/>
      <w:tcPr>
        <w:tcBorders>
          <w:insideH w:val="single" w:sz="6" w:space="0" w:color="909465" w:themeColor="accent4"/>
          <w:insideV w:val="single" w:sz="6" w:space="0" w:color="909465" w:themeColor="accent4"/>
        </w:tcBorders>
        <w:shd w:val="clear" w:color="auto" w:fill="C8CAB1" w:themeFill="accent4" w:themeFillTint="7F"/>
      </w:tcPr>
    </w:tblStylePr>
    <w:tblStylePr w:type="nwCell">
      <w:tblPr/>
      <w:tcPr>
        <w:shd w:val="clear" w:color="auto" w:fill="FFFFFF" w:themeFill="background1"/>
      </w:tcPr>
    </w:tblStylePr>
  </w:style>
  <w:style w:type="paragraph" w:styleId="ListBullet2">
    <w:name w:val="List Bullet 2"/>
    <w:basedOn w:val="Normal"/>
    <w:link w:val="ListBullet2Char"/>
    <w:uiPriority w:val="99"/>
    <w:qFormat/>
    <w:rsid w:val="00E25855"/>
    <w:pPr>
      <w:numPr>
        <w:numId w:val="1"/>
      </w:numPr>
      <w:spacing w:after="120" w:line="240" w:lineRule="atLeast"/>
      <w:contextualSpacing/>
    </w:pPr>
    <w:rPr>
      <w:rFonts w:ascii="Cambria" w:hAnsi="Cambria"/>
      <w:sz w:val="20"/>
      <w:lang w:val="en-AU"/>
    </w:rPr>
  </w:style>
  <w:style w:type="paragraph" w:customStyle="1" w:styleId="Paragraph">
    <w:name w:val="Paragraph"/>
    <w:basedOn w:val="Normal"/>
    <w:link w:val="ParagraphChar"/>
    <w:rsid w:val="00E25855"/>
    <w:pPr>
      <w:spacing w:before="120" w:after="120" w:line="240" w:lineRule="auto"/>
    </w:pPr>
    <w:rPr>
      <w:rFonts w:ascii="Cambria" w:eastAsia="Times New Roman" w:hAnsi="Cambria" w:cs="Times New Roman"/>
      <w:sz w:val="20"/>
      <w:szCs w:val="20"/>
      <w:lang w:val="en-AU" w:eastAsia="en-AU"/>
    </w:rPr>
  </w:style>
  <w:style w:type="character" w:customStyle="1" w:styleId="ParagraphChar">
    <w:name w:val="Paragraph Char"/>
    <w:basedOn w:val="DefaultParagraphFont"/>
    <w:link w:val="Paragraph"/>
    <w:rsid w:val="00E25855"/>
    <w:rPr>
      <w:rFonts w:ascii="Cambria" w:eastAsia="Times New Roman" w:hAnsi="Cambria" w:cs="Times New Roman"/>
      <w:sz w:val="20"/>
      <w:szCs w:val="20"/>
      <w:lang w:val="en-AU" w:eastAsia="en-AU"/>
    </w:rPr>
  </w:style>
  <w:style w:type="character" w:customStyle="1" w:styleId="ListBullet2Char">
    <w:name w:val="List Bullet 2 Char"/>
    <w:basedOn w:val="DefaultParagraphFont"/>
    <w:link w:val="ListBullet2"/>
    <w:uiPriority w:val="99"/>
    <w:rsid w:val="00E25855"/>
    <w:rPr>
      <w:rFonts w:ascii="Cambria" w:hAnsi="Cambria"/>
      <w:sz w:val="20"/>
      <w:lang w:val="en-AU"/>
    </w:rPr>
  </w:style>
  <w:style w:type="paragraph" w:styleId="TOCHeading">
    <w:name w:val="TOC Heading"/>
    <w:basedOn w:val="Heading1"/>
    <w:next w:val="Normal"/>
    <w:uiPriority w:val="39"/>
    <w:unhideWhenUsed/>
    <w:qFormat/>
    <w:rsid w:val="00E5228C"/>
    <w:pPr>
      <w:outlineLvl w:val="9"/>
    </w:pPr>
    <w:rPr>
      <w:lang w:val="en-US" w:eastAsia="ja-JP"/>
    </w:rPr>
  </w:style>
  <w:style w:type="paragraph" w:styleId="TOC1">
    <w:name w:val="toc 1"/>
    <w:basedOn w:val="Normal"/>
    <w:next w:val="Normal"/>
    <w:autoRedefine/>
    <w:uiPriority w:val="39"/>
    <w:unhideWhenUsed/>
    <w:qFormat/>
    <w:rsid w:val="00E5228C"/>
    <w:pPr>
      <w:spacing w:after="100"/>
    </w:pPr>
  </w:style>
  <w:style w:type="paragraph" w:styleId="TOC2">
    <w:name w:val="toc 2"/>
    <w:basedOn w:val="Normal"/>
    <w:next w:val="Normal"/>
    <w:autoRedefine/>
    <w:uiPriority w:val="39"/>
    <w:unhideWhenUsed/>
    <w:qFormat/>
    <w:rsid w:val="00E5228C"/>
    <w:pPr>
      <w:spacing w:after="100"/>
      <w:ind w:left="240"/>
    </w:pPr>
  </w:style>
  <w:style w:type="paragraph" w:styleId="TOC3">
    <w:name w:val="toc 3"/>
    <w:basedOn w:val="Normal"/>
    <w:next w:val="Normal"/>
    <w:autoRedefine/>
    <w:uiPriority w:val="39"/>
    <w:unhideWhenUsed/>
    <w:qFormat/>
    <w:rsid w:val="00852DBF"/>
    <w:pPr>
      <w:tabs>
        <w:tab w:val="right" w:leader="dot" w:pos="9016"/>
      </w:tabs>
      <w:spacing w:after="100"/>
      <w:ind w:left="240"/>
    </w:pPr>
    <w:rPr>
      <w:noProof/>
    </w:rPr>
  </w:style>
  <w:style w:type="character" w:styleId="LineNumber">
    <w:name w:val="line number"/>
    <w:basedOn w:val="DefaultParagraphFont"/>
    <w:uiPriority w:val="99"/>
    <w:semiHidden/>
    <w:unhideWhenUsed/>
    <w:rsid w:val="00FE2190"/>
  </w:style>
  <w:style w:type="paragraph" w:customStyle="1" w:styleId="Numberbullet0">
    <w:name w:val="Number bullet"/>
    <w:basedOn w:val="ListBullet"/>
    <w:qFormat/>
    <w:rsid w:val="008F5E5B"/>
    <w:pPr>
      <w:spacing w:before="60" w:after="120" w:line="240" w:lineRule="atLeast"/>
      <w:contextualSpacing w:val="0"/>
    </w:pPr>
    <w:rPr>
      <w:rFonts w:ascii="Cambria" w:eastAsia="Cambria" w:hAnsi="Cambria" w:cs="Times New Roman"/>
      <w:lang w:val="en-AU"/>
    </w:rPr>
  </w:style>
  <w:style w:type="paragraph" w:customStyle="1" w:styleId="Numberbullet2">
    <w:name w:val="Number bullet 2"/>
    <w:basedOn w:val="ListBullet2"/>
    <w:qFormat/>
    <w:rsid w:val="008F5E5B"/>
    <w:pPr>
      <w:numPr>
        <w:ilvl w:val="1"/>
        <w:numId w:val="2"/>
      </w:numPr>
      <w:spacing w:before="60"/>
      <w:ind w:left="850" w:hanging="425"/>
      <w:contextualSpacing w:val="0"/>
    </w:pPr>
    <w:rPr>
      <w:rFonts w:eastAsia="Cambria" w:cs="Times New Roman"/>
      <w:sz w:val="22"/>
    </w:rPr>
  </w:style>
  <w:style w:type="paragraph" w:customStyle="1" w:styleId="Numberbullet3">
    <w:name w:val="Number bullet 3"/>
    <w:basedOn w:val="ListBullet3"/>
    <w:qFormat/>
    <w:rsid w:val="008F5E5B"/>
    <w:pPr>
      <w:numPr>
        <w:ilvl w:val="2"/>
        <w:numId w:val="2"/>
      </w:numPr>
      <w:spacing w:before="60" w:after="180" w:line="240" w:lineRule="atLeast"/>
      <w:contextualSpacing w:val="0"/>
    </w:pPr>
    <w:rPr>
      <w:rFonts w:ascii="Cambria" w:eastAsia="Cambria" w:hAnsi="Cambria" w:cs="Times New Roman"/>
      <w:lang w:val="en-AU"/>
    </w:rPr>
  </w:style>
  <w:style w:type="numbering" w:customStyle="1" w:styleId="NumberBullet">
    <w:name w:val="NumberBullet"/>
    <w:uiPriority w:val="99"/>
    <w:locked/>
    <w:rsid w:val="008F5E5B"/>
    <w:pPr>
      <w:numPr>
        <w:numId w:val="2"/>
      </w:numPr>
    </w:pPr>
  </w:style>
  <w:style w:type="paragraph" w:styleId="ListBullet">
    <w:name w:val="List Bullet"/>
    <w:basedOn w:val="Normal"/>
    <w:uiPriority w:val="99"/>
    <w:unhideWhenUsed/>
    <w:qFormat/>
    <w:rsid w:val="008F5E5B"/>
    <w:pPr>
      <w:ind w:left="425" w:hanging="425"/>
      <w:contextualSpacing/>
    </w:pPr>
  </w:style>
  <w:style w:type="paragraph" w:styleId="ListBullet3">
    <w:name w:val="List Bullet 3"/>
    <w:basedOn w:val="Normal"/>
    <w:uiPriority w:val="99"/>
    <w:unhideWhenUsed/>
    <w:qFormat/>
    <w:rsid w:val="008F5E5B"/>
    <w:pPr>
      <w:ind w:left="425" w:hanging="425"/>
      <w:contextualSpacing/>
    </w:pPr>
  </w:style>
  <w:style w:type="paragraph" w:customStyle="1" w:styleId="LegalCopy">
    <w:name w:val="Legal Copy"/>
    <w:basedOn w:val="Footer"/>
    <w:qFormat/>
    <w:rsid w:val="00785336"/>
    <w:rPr>
      <w:rFonts w:ascii="Cambria" w:eastAsia="Cambria" w:hAnsi="Cambria" w:cs="Times New Roman"/>
      <w:sz w:val="17"/>
      <w:lang w:val="en-AU"/>
    </w:rPr>
  </w:style>
  <w:style w:type="numbering" w:customStyle="1" w:styleId="ListBullets">
    <w:name w:val="ListBullets"/>
    <w:uiPriority w:val="99"/>
    <w:locked/>
    <w:rsid w:val="00785336"/>
    <w:pPr>
      <w:numPr>
        <w:numId w:val="3"/>
      </w:numPr>
    </w:pPr>
  </w:style>
  <w:style w:type="paragraph" w:customStyle="1" w:styleId="NonTOCHeading2">
    <w:name w:val="Non TOC Heading 2"/>
    <w:basedOn w:val="Normal"/>
    <w:qFormat/>
    <w:rsid w:val="00785336"/>
    <w:pPr>
      <w:keepNext/>
      <w:spacing w:before="180" w:after="180" w:line="240" w:lineRule="atLeast"/>
    </w:pPr>
    <w:rPr>
      <w:rFonts w:eastAsia="Cambria" w:cs="Times New Roman"/>
      <w:b/>
      <w:sz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21704">
      <w:bodyDiv w:val="1"/>
      <w:marLeft w:val="0"/>
      <w:marRight w:val="0"/>
      <w:marTop w:val="0"/>
      <w:marBottom w:val="0"/>
      <w:divBdr>
        <w:top w:val="none" w:sz="0" w:space="0" w:color="auto"/>
        <w:left w:val="none" w:sz="0" w:space="0" w:color="auto"/>
        <w:bottom w:val="none" w:sz="0" w:space="0" w:color="auto"/>
        <w:right w:val="none" w:sz="0" w:space="0" w:color="auto"/>
      </w:divBdr>
    </w:div>
    <w:div w:id="237985115">
      <w:bodyDiv w:val="1"/>
      <w:marLeft w:val="0"/>
      <w:marRight w:val="0"/>
      <w:marTop w:val="0"/>
      <w:marBottom w:val="0"/>
      <w:divBdr>
        <w:top w:val="none" w:sz="0" w:space="0" w:color="auto"/>
        <w:left w:val="none" w:sz="0" w:space="0" w:color="auto"/>
        <w:bottom w:val="none" w:sz="0" w:space="0" w:color="auto"/>
        <w:right w:val="none" w:sz="0" w:space="0" w:color="auto"/>
      </w:divBdr>
    </w:div>
    <w:div w:id="278343746">
      <w:bodyDiv w:val="1"/>
      <w:marLeft w:val="0"/>
      <w:marRight w:val="0"/>
      <w:marTop w:val="0"/>
      <w:marBottom w:val="0"/>
      <w:divBdr>
        <w:top w:val="none" w:sz="0" w:space="0" w:color="auto"/>
        <w:left w:val="none" w:sz="0" w:space="0" w:color="auto"/>
        <w:bottom w:val="none" w:sz="0" w:space="0" w:color="auto"/>
        <w:right w:val="none" w:sz="0" w:space="0" w:color="auto"/>
      </w:divBdr>
    </w:div>
    <w:div w:id="429083715">
      <w:bodyDiv w:val="1"/>
      <w:marLeft w:val="0"/>
      <w:marRight w:val="0"/>
      <w:marTop w:val="0"/>
      <w:marBottom w:val="0"/>
      <w:divBdr>
        <w:top w:val="none" w:sz="0" w:space="0" w:color="auto"/>
        <w:left w:val="none" w:sz="0" w:space="0" w:color="auto"/>
        <w:bottom w:val="none" w:sz="0" w:space="0" w:color="auto"/>
        <w:right w:val="none" w:sz="0" w:space="0" w:color="auto"/>
      </w:divBdr>
      <w:divsChild>
        <w:div w:id="1460873656">
          <w:marLeft w:val="0"/>
          <w:marRight w:val="0"/>
          <w:marTop w:val="0"/>
          <w:marBottom w:val="0"/>
          <w:divBdr>
            <w:top w:val="none" w:sz="0" w:space="0" w:color="auto"/>
            <w:left w:val="none" w:sz="0" w:space="0" w:color="auto"/>
            <w:bottom w:val="none" w:sz="0" w:space="0" w:color="auto"/>
            <w:right w:val="none" w:sz="0" w:space="0" w:color="auto"/>
          </w:divBdr>
          <w:divsChild>
            <w:div w:id="8238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7234">
      <w:bodyDiv w:val="1"/>
      <w:marLeft w:val="0"/>
      <w:marRight w:val="0"/>
      <w:marTop w:val="0"/>
      <w:marBottom w:val="0"/>
      <w:divBdr>
        <w:top w:val="none" w:sz="0" w:space="0" w:color="auto"/>
        <w:left w:val="none" w:sz="0" w:space="0" w:color="auto"/>
        <w:bottom w:val="none" w:sz="0" w:space="0" w:color="auto"/>
        <w:right w:val="none" w:sz="0" w:space="0" w:color="auto"/>
      </w:divBdr>
      <w:divsChild>
        <w:div w:id="464079928">
          <w:marLeft w:val="0"/>
          <w:marRight w:val="0"/>
          <w:marTop w:val="0"/>
          <w:marBottom w:val="0"/>
          <w:divBdr>
            <w:top w:val="none" w:sz="0" w:space="0" w:color="auto"/>
            <w:left w:val="none" w:sz="0" w:space="0" w:color="auto"/>
            <w:bottom w:val="none" w:sz="0" w:space="0" w:color="auto"/>
            <w:right w:val="none" w:sz="0" w:space="0" w:color="auto"/>
          </w:divBdr>
          <w:divsChild>
            <w:div w:id="12278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9214">
      <w:bodyDiv w:val="1"/>
      <w:marLeft w:val="0"/>
      <w:marRight w:val="0"/>
      <w:marTop w:val="0"/>
      <w:marBottom w:val="0"/>
      <w:divBdr>
        <w:top w:val="none" w:sz="0" w:space="0" w:color="auto"/>
        <w:left w:val="none" w:sz="0" w:space="0" w:color="auto"/>
        <w:bottom w:val="none" w:sz="0" w:space="0" w:color="auto"/>
        <w:right w:val="none" w:sz="0" w:space="0" w:color="auto"/>
      </w:divBdr>
      <w:divsChild>
        <w:div w:id="1725249488">
          <w:marLeft w:val="3"/>
          <w:marRight w:val="3"/>
          <w:marTop w:val="0"/>
          <w:marBottom w:val="600"/>
          <w:divBdr>
            <w:top w:val="none" w:sz="0" w:space="0" w:color="auto"/>
            <w:left w:val="none" w:sz="0" w:space="0" w:color="auto"/>
            <w:bottom w:val="none" w:sz="0" w:space="0" w:color="auto"/>
            <w:right w:val="none" w:sz="0" w:space="0" w:color="auto"/>
          </w:divBdr>
          <w:divsChild>
            <w:div w:id="983898146">
              <w:marLeft w:val="0"/>
              <w:marRight w:val="0"/>
              <w:marTop w:val="300"/>
              <w:marBottom w:val="0"/>
              <w:divBdr>
                <w:top w:val="none" w:sz="0" w:space="0" w:color="auto"/>
                <w:left w:val="none" w:sz="0" w:space="0" w:color="auto"/>
                <w:bottom w:val="none" w:sz="0" w:space="0" w:color="auto"/>
                <w:right w:val="none" w:sz="0" w:space="0" w:color="auto"/>
              </w:divBdr>
              <w:divsChild>
                <w:div w:id="328214255">
                  <w:marLeft w:val="0"/>
                  <w:marRight w:val="0"/>
                  <w:marTop w:val="0"/>
                  <w:marBottom w:val="0"/>
                  <w:divBdr>
                    <w:top w:val="none" w:sz="0" w:space="0" w:color="auto"/>
                    <w:left w:val="none" w:sz="0" w:space="0" w:color="auto"/>
                    <w:bottom w:val="none" w:sz="0" w:space="0" w:color="auto"/>
                    <w:right w:val="none" w:sz="0" w:space="0" w:color="auto"/>
                  </w:divBdr>
                  <w:divsChild>
                    <w:div w:id="2055882457">
                      <w:marLeft w:val="0"/>
                      <w:marRight w:val="0"/>
                      <w:marTop w:val="0"/>
                      <w:marBottom w:val="0"/>
                      <w:divBdr>
                        <w:top w:val="none" w:sz="0" w:space="0" w:color="auto"/>
                        <w:left w:val="none" w:sz="0" w:space="0" w:color="auto"/>
                        <w:bottom w:val="none" w:sz="0" w:space="0" w:color="auto"/>
                        <w:right w:val="none" w:sz="0" w:space="0" w:color="auto"/>
                      </w:divBdr>
                      <w:divsChild>
                        <w:div w:id="2493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472104">
      <w:bodyDiv w:val="1"/>
      <w:marLeft w:val="0"/>
      <w:marRight w:val="0"/>
      <w:marTop w:val="0"/>
      <w:marBottom w:val="0"/>
      <w:divBdr>
        <w:top w:val="none" w:sz="0" w:space="0" w:color="auto"/>
        <w:left w:val="none" w:sz="0" w:space="0" w:color="auto"/>
        <w:bottom w:val="none" w:sz="0" w:space="0" w:color="auto"/>
        <w:right w:val="none" w:sz="0" w:space="0" w:color="auto"/>
      </w:divBdr>
      <w:divsChild>
        <w:div w:id="813790998">
          <w:marLeft w:val="0"/>
          <w:marRight w:val="0"/>
          <w:marTop w:val="0"/>
          <w:marBottom w:val="0"/>
          <w:divBdr>
            <w:top w:val="none" w:sz="0" w:space="0" w:color="auto"/>
            <w:left w:val="none" w:sz="0" w:space="0" w:color="auto"/>
            <w:bottom w:val="none" w:sz="0" w:space="0" w:color="auto"/>
            <w:right w:val="none" w:sz="0" w:space="0" w:color="auto"/>
          </w:divBdr>
          <w:divsChild>
            <w:div w:id="445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4999">
      <w:bodyDiv w:val="1"/>
      <w:marLeft w:val="0"/>
      <w:marRight w:val="0"/>
      <w:marTop w:val="0"/>
      <w:marBottom w:val="0"/>
      <w:divBdr>
        <w:top w:val="none" w:sz="0" w:space="0" w:color="auto"/>
        <w:left w:val="none" w:sz="0" w:space="0" w:color="auto"/>
        <w:bottom w:val="none" w:sz="0" w:space="0" w:color="auto"/>
        <w:right w:val="none" w:sz="0" w:space="0" w:color="auto"/>
      </w:divBdr>
      <w:divsChild>
        <w:div w:id="733968157">
          <w:marLeft w:val="0"/>
          <w:marRight w:val="0"/>
          <w:marTop w:val="0"/>
          <w:marBottom w:val="0"/>
          <w:divBdr>
            <w:top w:val="none" w:sz="0" w:space="0" w:color="auto"/>
            <w:left w:val="none" w:sz="0" w:space="0" w:color="auto"/>
            <w:bottom w:val="none" w:sz="0" w:space="0" w:color="auto"/>
            <w:right w:val="none" w:sz="0" w:space="0" w:color="auto"/>
          </w:divBdr>
          <w:divsChild>
            <w:div w:id="8261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254">
      <w:bodyDiv w:val="1"/>
      <w:marLeft w:val="0"/>
      <w:marRight w:val="0"/>
      <w:marTop w:val="0"/>
      <w:marBottom w:val="0"/>
      <w:divBdr>
        <w:top w:val="none" w:sz="0" w:space="0" w:color="auto"/>
        <w:left w:val="none" w:sz="0" w:space="0" w:color="auto"/>
        <w:bottom w:val="none" w:sz="0" w:space="0" w:color="auto"/>
        <w:right w:val="none" w:sz="0" w:space="0" w:color="auto"/>
      </w:divBdr>
      <w:divsChild>
        <w:div w:id="603224905">
          <w:marLeft w:val="0"/>
          <w:marRight w:val="0"/>
          <w:marTop w:val="0"/>
          <w:marBottom w:val="0"/>
          <w:divBdr>
            <w:top w:val="none" w:sz="0" w:space="0" w:color="auto"/>
            <w:left w:val="none" w:sz="0" w:space="0" w:color="auto"/>
            <w:bottom w:val="none" w:sz="0" w:space="0" w:color="auto"/>
            <w:right w:val="none" w:sz="0" w:space="0" w:color="auto"/>
          </w:divBdr>
          <w:divsChild>
            <w:div w:id="10632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3379">
      <w:bodyDiv w:val="1"/>
      <w:marLeft w:val="0"/>
      <w:marRight w:val="0"/>
      <w:marTop w:val="0"/>
      <w:marBottom w:val="0"/>
      <w:divBdr>
        <w:top w:val="none" w:sz="0" w:space="0" w:color="auto"/>
        <w:left w:val="none" w:sz="0" w:space="0" w:color="auto"/>
        <w:bottom w:val="none" w:sz="0" w:space="0" w:color="auto"/>
        <w:right w:val="none" w:sz="0" w:space="0" w:color="auto"/>
      </w:divBdr>
      <w:divsChild>
        <w:div w:id="984549582">
          <w:marLeft w:val="0"/>
          <w:marRight w:val="0"/>
          <w:marTop w:val="0"/>
          <w:marBottom w:val="0"/>
          <w:divBdr>
            <w:top w:val="none" w:sz="0" w:space="0" w:color="auto"/>
            <w:left w:val="none" w:sz="0" w:space="0" w:color="auto"/>
            <w:bottom w:val="none" w:sz="0" w:space="0" w:color="auto"/>
            <w:right w:val="none" w:sz="0" w:space="0" w:color="auto"/>
          </w:divBdr>
          <w:divsChild>
            <w:div w:id="6209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7947">
      <w:bodyDiv w:val="1"/>
      <w:marLeft w:val="0"/>
      <w:marRight w:val="0"/>
      <w:marTop w:val="0"/>
      <w:marBottom w:val="0"/>
      <w:divBdr>
        <w:top w:val="none" w:sz="0" w:space="0" w:color="auto"/>
        <w:left w:val="none" w:sz="0" w:space="0" w:color="auto"/>
        <w:bottom w:val="none" w:sz="0" w:space="0" w:color="auto"/>
        <w:right w:val="none" w:sz="0" w:space="0" w:color="auto"/>
      </w:divBdr>
      <w:divsChild>
        <w:div w:id="1250852755">
          <w:marLeft w:val="0"/>
          <w:marRight w:val="0"/>
          <w:marTop w:val="0"/>
          <w:marBottom w:val="0"/>
          <w:divBdr>
            <w:top w:val="none" w:sz="0" w:space="0" w:color="auto"/>
            <w:left w:val="none" w:sz="0" w:space="0" w:color="auto"/>
            <w:bottom w:val="none" w:sz="0" w:space="0" w:color="auto"/>
            <w:right w:val="none" w:sz="0" w:space="0" w:color="auto"/>
          </w:divBdr>
          <w:divsChild>
            <w:div w:id="7527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8068">
      <w:bodyDiv w:val="1"/>
      <w:marLeft w:val="0"/>
      <w:marRight w:val="0"/>
      <w:marTop w:val="0"/>
      <w:marBottom w:val="0"/>
      <w:divBdr>
        <w:top w:val="none" w:sz="0" w:space="0" w:color="auto"/>
        <w:left w:val="none" w:sz="0" w:space="0" w:color="auto"/>
        <w:bottom w:val="none" w:sz="0" w:space="0" w:color="auto"/>
        <w:right w:val="none" w:sz="0" w:space="0" w:color="auto"/>
      </w:divBdr>
      <w:divsChild>
        <w:div w:id="566456120">
          <w:marLeft w:val="0"/>
          <w:marRight w:val="0"/>
          <w:marTop w:val="0"/>
          <w:marBottom w:val="0"/>
          <w:divBdr>
            <w:top w:val="none" w:sz="0" w:space="0" w:color="auto"/>
            <w:left w:val="none" w:sz="0" w:space="0" w:color="auto"/>
            <w:bottom w:val="none" w:sz="0" w:space="0" w:color="auto"/>
            <w:right w:val="none" w:sz="0" w:space="0" w:color="auto"/>
          </w:divBdr>
          <w:divsChild>
            <w:div w:id="17858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2092">
      <w:bodyDiv w:val="1"/>
      <w:marLeft w:val="0"/>
      <w:marRight w:val="0"/>
      <w:marTop w:val="0"/>
      <w:marBottom w:val="0"/>
      <w:divBdr>
        <w:top w:val="none" w:sz="0" w:space="0" w:color="auto"/>
        <w:left w:val="none" w:sz="0" w:space="0" w:color="auto"/>
        <w:bottom w:val="none" w:sz="0" w:space="0" w:color="auto"/>
        <w:right w:val="none" w:sz="0" w:space="0" w:color="auto"/>
      </w:divBdr>
      <w:divsChild>
        <w:div w:id="1705516286">
          <w:marLeft w:val="0"/>
          <w:marRight w:val="0"/>
          <w:marTop w:val="0"/>
          <w:marBottom w:val="0"/>
          <w:divBdr>
            <w:top w:val="none" w:sz="0" w:space="0" w:color="auto"/>
            <w:left w:val="none" w:sz="0" w:space="0" w:color="auto"/>
            <w:bottom w:val="none" w:sz="0" w:space="0" w:color="auto"/>
            <w:right w:val="none" w:sz="0" w:space="0" w:color="auto"/>
          </w:divBdr>
          <w:divsChild>
            <w:div w:id="18029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64322">
      <w:bodyDiv w:val="1"/>
      <w:marLeft w:val="0"/>
      <w:marRight w:val="0"/>
      <w:marTop w:val="0"/>
      <w:marBottom w:val="0"/>
      <w:divBdr>
        <w:top w:val="none" w:sz="0" w:space="0" w:color="auto"/>
        <w:left w:val="none" w:sz="0" w:space="0" w:color="auto"/>
        <w:bottom w:val="none" w:sz="0" w:space="0" w:color="auto"/>
        <w:right w:val="none" w:sz="0" w:space="0" w:color="auto"/>
      </w:divBdr>
      <w:divsChild>
        <w:div w:id="1401826947">
          <w:marLeft w:val="0"/>
          <w:marRight w:val="0"/>
          <w:marTop w:val="0"/>
          <w:marBottom w:val="0"/>
          <w:divBdr>
            <w:top w:val="none" w:sz="0" w:space="0" w:color="auto"/>
            <w:left w:val="none" w:sz="0" w:space="0" w:color="auto"/>
            <w:bottom w:val="none" w:sz="0" w:space="0" w:color="auto"/>
            <w:right w:val="none" w:sz="0" w:space="0" w:color="auto"/>
          </w:divBdr>
          <w:divsChild>
            <w:div w:id="14850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4062">
      <w:bodyDiv w:val="1"/>
      <w:marLeft w:val="0"/>
      <w:marRight w:val="0"/>
      <w:marTop w:val="0"/>
      <w:marBottom w:val="0"/>
      <w:divBdr>
        <w:top w:val="none" w:sz="0" w:space="0" w:color="auto"/>
        <w:left w:val="none" w:sz="0" w:space="0" w:color="auto"/>
        <w:bottom w:val="none" w:sz="0" w:space="0" w:color="auto"/>
        <w:right w:val="none" w:sz="0" w:space="0" w:color="auto"/>
      </w:divBdr>
    </w:div>
    <w:div w:id="1725326553">
      <w:bodyDiv w:val="1"/>
      <w:marLeft w:val="0"/>
      <w:marRight w:val="0"/>
      <w:marTop w:val="0"/>
      <w:marBottom w:val="0"/>
      <w:divBdr>
        <w:top w:val="none" w:sz="0" w:space="0" w:color="auto"/>
        <w:left w:val="none" w:sz="0" w:space="0" w:color="auto"/>
        <w:bottom w:val="none" w:sz="0" w:space="0" w:color="auto"/>
        <w:right w:val="none" w:sz="0" w:space="0" w:color="auto"/>
      </w:divBdr>
      <w:divsChild>
        <w:div w:id="1293827749">
          <w:marLeft w:val="0"/>
          <w:marRight w:val="0"/>
          <w:marTop w:val="0"/>
          <w:marBottom w:val="0"/>
          <w:divBdr>
            <w:top w:val="none" w:sz="0" w:space="0" w:color="auto"/>
            <w:left w:val="none" w:sz="0" w:space="0" w:color="auto"/>
            <w:bottom w:val="none" w:sz="0" w:space="0" w:color="auto"/>
            <w:right w:val="none" w:sz="0" w:space="0" w:color="auto"/>
          </w:divBdr>
          <w:divsChild>
            <w:div w:id="13672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046">
      <w:bodyDiv w:val="1"/>
      <w:marLeft w:val="0"/>
      <w:marRight w:val="0"/>
      <w:marTop w:val="0"/>
      <w:marBottom w:val="0"/>
      <w:divBdr>
        <w:top w:val="none" w:sz="0" w:space="0" w:color="auto"/>
        <w:left w:val="none" w:sz="0" w:space="0" w:color="auto"/>
        <w:bottom w:val="none" w:sz="0" w:space="0" w:color="auto"/>
        <w:right w:val="none" w:sz="0" w:space="0" w:color="auto"/>
      </w:divBdr>
      <w:divsChild>
        <w:div w:id="205065486">
          <w:marLeft w:val="0"/>
          <w:marRight w:val="0"/>
          <w:marTop w:val="0"/>
          <w:marBottom w:val="0"/>
          <w:divBdr>
            <w:top w:val="none" w:sz="0" w:space="0" w:color="auto"/>
            <w:left w:val="none" w:sz="0" w:space="0" w:color="auto"/>
            <w:bottom w:val="none" w:sz="0" w:space="0" w:color="auto"/>
            <w:right w:val="none" w:sz="0" w:space="0" w:color="auto"/>
          </w:divBdr>
          <w:divsChild>
            <w:div w:id="14659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46946">
      <w:bodyDiv w:val="1"/>
      <w:marLeft w:val="0"/>
      <w:marRight w:val="0"/>
      <w:marTop w:val="0"/>
      <w:marBottom w:val="0"/>
      <w:divBdr>
        <w:top w:val="none" w:sz="0" w:space="0" w:color="auto"/>
        <w:left w:val="none" w:sz="0" w:space="0" w:color="auto"/>
        <w:bottom w:val="none" w:sz="0" w:space="0" w:color="auto"/>
        <w:right w:val="none" w:sz="0" w:space="0" w:color="auto"/>
      </w:divBdr>
      <w:divsChild>
        <w:div w:id="1589853017">
          <w:marLeft w:val="0"/>
          <w:marRight w:val="0"/>
          <w:marTop w:val="0"/>
          <w:marBottom w:val="0"/>
          <w:divBdr>
            <w:top w:val="none" w:sz="0" w:space="0" w:color="auto"/>
            <w:left w:val="none" w:sz="0" w:space="0" w:color="auto"/>
            <w:bottom w:val="none" w:sz="0" w:space="0" w:color="auto"/>
            <w:right w:val="none" w:sz="0" w:space="0" w:color="auto"/>
          </w:divBdr>
          <w:divsChild>
            <w:div w:id="9988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27847">
      <w:bodyDiv w:val="1"/>
      <w:marLeft w:val="0"/>
      <w:marRight w:val="0"/>
      <w:marTop w:val="0"/>
      <w:marBottom w:val="0"/>
      <w:divBdr>
        <w:top w:val="none" w:sz="0" w:space="0" w:color="auto"/>
        <w:left w:val="none" w:sz="0" w:space="0" w:color="auto"/>
        <w:bottom w:val="none" w:sz="0" w:space="0" w:color="auto"/>
        <w:right w:val="none" w:sz="0" w:space="0" w:color="auto"/>
      </w:divBdr>
      <w:divsChild>
        <w:div w:id="1845851497">
          <w:marLeft w:val="0"/>
          <w:marRight w:val="0"/>
          <w:marTop w:val="0"/>
          <w:marBottom w:val="0"/>
          <w:divBdr>
            <w:top w:val="none" w:sz="0" w:space="0" w:color="auto"/>
            <w:left w:val="none" w:sz="0" w:space="0" w:color="auto"/>
            <w:bottom w:val="none" w:sz="0" w:space="0" w:color="auto"/>
            <w:right w:val="none" w:sz="0" w:space="0" w:color="auto"/>
          </w:divBdr>
          <w:divsChild>
            <w:div w:id="4170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7365">
      <w:bodyDiv w:val="1"/>
      <w:marLeft w:val="0"/>
      <w:marRight w:val="0"/>
      <w:marTop w:val="0"/>
      <w:marBottom w:val="0"/>
      <w:divBdr>
        <w:top w:val="none" w:sz="0" w:space="0" w:color="auto"/>
        <w:left w:val="none" w:sz="0" w:space="0" w:color="auto"/>
        <w:bottom w:val="none" w:sz="0" w:space="0" w:color="auto"/>
        <w:right w:val="none" w:sz="0" w:space="0" w:color="auto"/>
      </w:divBdr>
      <w:divsChild>
        <w:div w:id="1231034953">
          <w:marLeft w:val="0"/>
          <w:marRight w:val="0"/>
          <w:marTop w:val="0"/>
          <w:marBottom w:val="0"/>
          <w:divBdr>
            <w:top w:val="none" w:sz="0" w:space="0" w:color="auto"/>
            <w:left w:val="none" w:sz="0" w:space="0" w:color="auto"/>
            <w:bottom w:val="none" w:sz="0" w:space="0" w:color="auto"/>
            <w:right w:val="none" w:sz="0" w:space="0" w:color="auto"/>
          </w:divBdr>
          <w:divsChild>
            <w:div w:id="10853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1278">
      <w:bodyDiv w:val="1"/>
      <w:marLeft w:val="0"/>
      <w:marRight w:val="0"/>
      <w:marTop w:val="0"/>
      <w:marBottom w:val="0"/>
      <w:divBdr>
        <w:top w:val="none" w:sz="0" w:space="0" w:color="auto"/>
        <w:left w:val="none" w:sz="0" w:space="0" w:color="auto"/>
        <w:bottom w:val="none" w:sz="0" w:space="0" w:color="auto"/>
        <w:right w:val="none" w:sz="0" w:space="0" w:color="auto"/>
      </w:divBdr>
      <w:divsChild>
        <w:div w:id="614866422">
          <w:marLeft w:val="0"/>
          <w:marRight w:val="0"/>
          <w:marTop w:val="0"/>
          <w:marBottom w:val="0"/>
          <w:divBdr>
            <w:top w:val="none" w:sz="0" w:space="0" w:color="auto"/>
            <w:left w:val="none" w:sz="0" w:space="0" w:color="auto"/>
            <w:bottom w:val="none" w:sz="0" w:space="0" w:color="auto"/>
            <w:right w:val="none" w:sz="0" w:space="0" w:color="auto"/>
          </w:divBdr>
          <w:divsChild>
            <w:div w:id="4800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0769">
      <w:bodyDiv w:val="1"/>
      <w:marLeft w:val="0"/>
      <w:marRight w:val="0"/>
      <w:marTop w:val="0"/>
      <w:marBottom w:val="0"/>
      <w:divBdr>
        <w:top w:val="none" w:sz="0" w:space="0" w:color="auto"/>
        <w:left w:val="none" w:sz="0" w:space="0" w:color="auto"/>
        <w:bottom w:val="none" w:sz="0" w:space="0" w:color="auto"/>
        <w:right w:val="none" w:sz="0" w:space="0" w:color="auto"/>
      </w:divBdr>
      <w:divsChild>
        <w:div w:id="93477207">
          <w:marLeft w:val="0"/>
          <w:marRight w:val="0"/>
          <w:marTop w:val="0"/>
          <w:marBottom w:val="0"/>
          <w:divBdr>
            <w:top w:val="none" w:sz="0" w:space="0" w:color="auto"/>
            <w:left w:val="none" w:sz="0" w:space="0" w:color="auto"/>
            <w:bottom w:val="none" w:sz="0" w:space="0" w:color="auto"/>
            <w:right w:val="none" w:sz="0" w:space="0" w:color="auto"/>
          </w:divBdr>
          <w:divsChild>
            <w:div w:id="1238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0874">
      <w:bodyDiv w:val="1"/>
      <w:marLeft w:val="0"/>
      <w:marRight w:val="0"/>
      <w:marTop w:val="0"/>
      <w:marBottom w:val="0"/>
      <w:divBdr>
        <w:top w:val="none" w:sz="0" w:space="0" w:color="auto"/>
        <w:left w:val="none" w:sz="0" w:space="0" w:color="auto"/>
        <w:bottom w:val="none" w:sz="0" w:space="0" w:color="auto"/>
        <w:right w:val="none" w:sz="0" w:space="0" w:color="auto"/>
      </w:divBdr>
      <w:divsChild>
        <w:div w:id="1166674614">
          <w:marLeft w:val="0"/>
          <w:marRight w:val="0"/>
          <w:marTop w:val="0"/>
          <w:marBottom w:val="0"/>
          <w:divBdr>
            <w:top w:val="none" w:sz="0" w:space="0" w:color="auto"/>
            <w:left w:val="none" w:sz="0" w:space="0" w:color="auto"/>
            <w:bottom w:val="none" w:sz="0" w:space="0" w:color="auto"/>
            <w:right w:val="none" w:sz="0" w:space="0" w:color="auto"/>
          </w:divBdr>
          <w:divsChild>
            <w:div w:id="13965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6F3C8-7E11-4F22-AEFE-D28CA44D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3FBCFA28</Template>
  <TotalTime>37</TotalTime>
  <Pages>13</Pages>
  <Words>6087</Words>
  <Characters>33971</Characters>
  <Application>Microsoft Office Word</Application>
  <DocSecurity>0</DocSecurity>
  <Lines>2123</Lines>
  <Paragraphs>1027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39031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Kenyon</dc:creator>
  <cp:lastModifiedBy>Susan Helene Kenyon</cp:lastModifiedBy>
  <cp:revision>7</cp:revision>
  <cp:lastPrinted>2013-07-01T02:38:00Z</cp:lastPrinted>
  <dcterms:created xsi:type="dcterms:W3CDTF">2017-02-08T23:49:00Z</dcterms:created>
  <dcterms:modified xsi:type="dcterms:W3CDTF">2017-02-14T20:22:00Z</dcterms:modified>
</cp:coreProperties>
</file>